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5FC" w:rsidRPr="003C18B5" w:rsidRDefault="00701015" w:rsidP="00F635FC">
      <w:pPr>
        <w:spacing w:after="0"/>
        <w:jc w:val="center"/>
        <w:rPr>
          <w:rFonts w:ascii="Arial" w:hAnsi="Arial" w:cs="Arial"/>
          <w:b/>
        </w:rPr>
      </w:pPr>
      <w:bookmarkStart w:id="0" w:name="_GoBack"/>
      <w:bookmarkEnd w:id="0"/>
      <w:r w:rsidRPr="003C18B5">
        <w:rPr>
          <w:rFonts w:ascii="Arial" w:hAnsi="Arial" w:cs="Arial"/>
          <w:b/>
          <w:noProof/>
          <w:lang w:val="es-EC" w:eastAsia="es-EC"/>
        </w:rPr>
        <w:drawing>
          <wp:inline distT="0" distB="0" distL="0" distR="0">
            <wp:extent cx="1032034" cy="8312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033769" cy="832613"/>
                    </a:xfrm>
                    <a:prstGeom prst="rect">
                      <a:avLst/>
                    </a:prstGeom>
                  </pic:spPr>
                </pic:pic>
              </a:graphicData>
            </a:graphic>
          </wp:inline>
        </w:drawing>
      </w:r>
    </w:p>
    <w:p w:rsidR="00722BE7" w:rsidRPr="003C18B5" w:rsidRDefault="00722BE7" w:rsidP="00A52922">
      <w:pPr>
        <w:spacing w:after="0"/>
        <w:jc w:val="center"/>
        <w:rPr>
          <w:rFonts w:ascii="Arial" w:hAnsi="Arial" w:cs="Arial"/>
          <w:b/>
        </w:rPr>
      </w:pPr>
    </w:p>
    <w:p w:rsidR="00407E87" w:rsidRPr="003C18B5" w:rsidRDefault="00407E87" w:rsidP="00A52922">
      <w:pPr>
        <w:spacing w:after="0"/>
        <w:jc w:val="center"/>
        <w:rPr>
          <w:rFonts w:ascii="Arial" w:hAnsi="Arial" w:cs="Arial"/>
          <w:b/>
        </w:rPr>
      </w:pPr>
      <w:r w:rsidRPr="003C18B5">
        <w:rPr>
          <w:rFonts w:ascii="Arial" w:hAnsi="Arial" w:cs="Arial"/>
          <w:b/>
        </w:rPr>
        <w:t>UNIVERSIDAD CENTRAL DEL ECUADOR</w:t>
      </w:r>
    </w:p>
    <w:p w:rsidR="00F46D71" w:rsidRPr="003C18B5" w:rsidRDefault="00F46D71" w:rsidP="00A52922">
      <w:pPr>
        <w:spacing w:after="0"/>
        <w:jc w:val="center"/>
        <w:rPr>
          <w:rFonts w:ascii="Arial" w:hAnsi="Arial" w:cs="Arial"/>
          <w:b/>
        </w:rPr>
      </w:pPr>
      <w:r w:rsidRPr="003C18B5">
        <w:rPr>
          <w:rFonts w:ascii="Arial" w:hAnsi="Arial" w:cs="Arial"/>
          <w:b/>
        </w:rPr>
        <w:t>VICERRECTORADO DE INVESTIGACIÓN, DOCTORADOS E INNOVACIÓN</w:t>
      </w:r>
    </w:p>
    <w:p w:rsidR="00805AAE" w:rsidRPr="003C18B5" w:rsidRDefault="00407E87" w:rsidP="00A52922">
      <w:pPr>
        <w:spacing w:after="0"/>
        <w:jc w:val="center"/>
        <w:rPr>
          <w:rFonts w:ascii="Arial" w:hAnsi="Arial" w:cs="Arial"/>
          <w:b/>
        </w:rPr>
      </w:pPr>
      <w:r w:rsidRPr="003C18B5">
        <w:rPr>
          <w:rFonts w:ascii="Arial" w:hAnsi="Arial" w:cs="Arial"/>
          <w:b/>
        </w:rPr>
        <w:t xml:space="preserve">DIRECCIÓN DE INVESTIGACIÓN </w:t>
      </w:r>
    </w:p>
    <w:p w:rsidR="00805AAE" w:rsidRPr="003C18B5" w:rsidRDefault="00407E87" w:rsidP="00A52922">
      <w:pPr>
        <w:spacing w:after="0"/>
        <w:jc w:val="center"/>
        <w:rPr>
          <w:rFonts w:ascii="Arial" w:hAnsi="Arial" w:cs="Arial"/>
          <w:b/>
        </w:rPr>
      </w:pPr>
      <w:r w:rsidRPr="003C18B5">
        <w:rPr>
          <w:rFonts w:ascii="Arial" w:hAnsi="Arial" w:cs="Arial"/>
          <w:b/>
        </w:rPr>
        <w:t>COMISIÓN DE INVESTIGACIÓN FORMATIVA</w:t>
      </w:r>
    </w:p>
    <w:p w:rsidR="00F46D71" w:rsidRPr="003C18B5" w:rsidRDefault="00F46D71" w:rsidP="00A52922">
      <w:pPr>
        <w:spacing w:after="0"/>
        <w:jc w:val="center"/>
        <w:rPr>
          <w:rFonts w:ascii="Arial" w:hAnsi="Arial" w:cs="Arial"/>
          <w:b/>
        </w:rPr>
      </w:pPr>
    </w:p>
    <w:p w:rsidR="00407E87" w:rsidRPr="003C18B5" w:rsidRDefault="00407E87" w:rsidP="00A52922">
      <w:pPr>
        <w:spacing w:after="0"/>
        <w:jc w:val="center"/>
        <w:rPr>
          <w:rFonts w:ascii="Arial" w:hAnsi="Arial" w:cs="Arial"/>
          <w:b/>
        </w:rPr>
      </w:pPr>
      <w:r w:rsidRPr="003C18B5">
        <w:rPr>
          <w:rFonts w:ascii="Arial" w:hAnsi="Arial" w:cs="Arial"/>
          <w:b/>
        </w:rPr>
        <w:t>CONVOCATORIA A CONC</w:t>
      </w:r>
      <w:r w:rsidR="00525FCA" w:rsidRPr="003C18B5">
        <w:rPr>
          <w:rFonts w:ascii="Arial" w:hAnsi="Arial" w:cs="Arial"/>
          <w:b/>
        </w:rPr>
        <w:t xml:space="preserve">URSO DE PROYECTO SEMILLA FASE </w:t>
      </w:r>
      <w:r w:rsidR="00B958BA" w:rsidRPr="003C18B5">
        <w:rPr>
          <w:rFonts w:ascii="Arial" w:hAnsi="Arial" w:cs="Arial"/>
          <w:b/>
        </w:rPr>
        <w:t>4</w:t>
      </w:r>
      <w:r w:rsidR="00897ECC" w:rsidRPr="003C18B5">
        <w:rPr>
          <w:rFonts w:ascii="Arial" w:hAnsi="Arial" w:cs="Arial"/>
          <w:b/>
        </w:rPr>
        <w:t>.</w:t>
      </w:r>
    </w:p>
    <w:p w:rsidR="00897ECC" w:rsidRPr="003C18B5" w:rsidRDefault="00897ECC" w:rsidP="00A52922">
      <w:pPr>
        <w:spacing w:after="0"/>
        <w:jc w:val="center"/>
        <w:rPr>
          <w:rFonts w:ascii="Arial" w:hAnsi="Arial" w:cs="Arial"/>
          <w:b/>
        </w:rPr>
      </w:pPr>
    </w:p>
    <w:p w:rsidR="00407E87" w:rsidRPr="003C18B5" w:rsidRDefault="00407E87" w:rsidP="00A52922">
      <w:pPr>
        <w:spacing w:after="0"/>
        <w:jc w:val="center"/>
        <w:rPr>
          <w:rFonts w:ascii="Arial" w:hAnsi="Arial" w:cs="Arial"/>
          <w:b/>
        </w:rPr>
      </w:pPr>
      <w:r w:rsidRPr="003C18B5">
        <w:rPr>
          <w:rFonts w:ascii="Arial" w:hAnsi="Arial" w:cs="Arial"/>
          <w:b/>
        </w:rPr>
        <w:t>FORMULARIO DE PRESENTACIÓN DE PR</w:t>
      </w:r>
      <w:r w:rsidR="00897ECC" w:rsidRPr="003C18B5">
        <w:rPr>
          <w:rFonts w:ascii="Arial" w:hAnsi="Arial" w:cs="Arial"/>
          <w:b/>
        </w:rPr>
        <w:t>OTOCOLO</w:t>
      </w:r>
    </w:p>
    <w:p w:rsidR="006B7DC6" w:rsidRPr="003C18B5" w:rsidRDefault="006B7DC6" w:rsidP="00A52922">
      <w:pPr>
        <w:spacing w:after="0"/>
        <w:jc w:val="center"/>
        <w:rPr>
          <w:rFonts w:ascii="Arial" w:hAnsi="Arial" w:cs="Arial"/>
          <w:b/>
        </w:rPr>
      </w:pPr>
    </w:p>
    <w:p w:rsidR="001B6450" w:rsidRPr="003C18B5" w:rsidRDefault="001B6450" w:rsidP="006B7DC6">
      <w:pPr>
        <w:spacing w:after="0"/>
        <w:rPr>
          <w:rFonts w:ascii="Arial" w:hAnsi="Arial" w:cs="Arial"/>
          <w:b/>
        </w:rPr>
      </w:pPr>
    </w:p>
    <w:tbl>
      <w:tblPr>
        <w:tblStyle w:val="Tablaconcuadrcula"/>
        <w:tblW w:w="9532" w:type="dxa"/>
        <w:tblInd w:w="-5" w:type="dxa"/>
        <w:tblLayout w:type="fixed"/>
        <w:tblLook w:val="04A0"/>
      </w:tblPr>
      <w:tblGrid>
        <w:gridCol w:w="9532"/>
      </w:tblGrid>
      <w:tr w:rsidR="001B6450" w:rsidRPr="003C18B5" w:rsidTr="00821D80">
        <w:trPr>
          <w:trHeight w:val="283"/>
        </w:trPr>
        <w:tc>
          <w:tcPr>
            <w:tcW w:w="9532" w:type="dxa"/>
            <w:shd w:val="clear" w:color="auto" w:fill="D9D9D9" w:themeFill="background1" w:themeFillShade="D9"/>
            <w:vAlign w:val="bottom"/>
          </w:tcPr>
          <w:p w:rsidR="001B6450" w:rsidRPr="003C18B5" w:rsidRDefault="001B6450" w:rsidP="00B668D0">
            <w:pPr>
              <w:spacing w:after="0"/>
              <w:jc w:val="left"/>
              <w:rPr>
                <w:rFonts w:ascii="Arial" w:hAnsi="Arial" w:cs="Arial"/>
                <w:b/>
              </w:rPr>
            </w:pPr>
            <w:r w:rsidRPr="003C18B5">
              <w:rPr>
                <w:rFonts w:ascii="Arial" w:hAnsi="Arial" w:cs="Arial"/>
                <w:b/>
              </w:rPr>
              <w:t>1.- DATOS GENERALES</w:t>
            </w:r>
          </w:p>
          <w:p w:rsidR="001B6450" w:rsidRPr="003C18B5" w:rsidRDefault="001B6450" w:rsidP="00B668D0">
            <w:pPr>
              <w:spacing w:after="0"/>
              <w:jc w:val="left"/>
              <w:rPr>
                <w:rFonts w:ascii="Arial" w:hAnsi="Arial" w:cs="Arial"/>
              </w:rPr>
            </w:pPr>
          </w:p>
        </w:tc>
      </w:tr>
    </w:tbl>
    <w:p w:rsidR="006B7DC6" w:rsidRPr="003C18B5" w:rsidRDefault="006B7DC6" w:rsidP="00F635FC">
      <w:pPr>
        <w:rPr>
          <w:rFonts w:ascii="Arial" w:hAnsi="Arial" w:cs="Arial"/>
          <w:b/>
        </w:rPr>
      </w:pPr>
    </w:p>
    <w:tbl>
      <w:tblPr>
        <w:tblStyle w:val="Tablaconcuadrcula"/>
        <w:tblpPr w:leftFromText="141" w:rightFromText="141" w:vertAnchor="text" w:horzAnchor="margin" w:tblpYSpec="outside"/>
        <w:tblW w:w="5128" w:type="pct"/>
        <w:tblLayout w:type="fixed"/>
        <w:tblLook w:val="04A0"/>
      </w:tblPr>
      <w:tblGrid>
        <w:gridCol w:w="2547"/>
        <w:gridCol w:w="361"/>
        <w:gridCol w:w="3088"/>
        <w:gridCol w:w="395"/>
        <w:gridCol w:w="2528"/>
        <w:gridCol w:w="947"/>
      </w:tblGrid>
      <w:tr w:rsidR="006B7DC6" w:rsidRPr="003C18B5" w:rsidTr="00941FB7">
        <w:trPr>
          <w:trHeight w:val="96"/>
        </w:trPr>
        <w:tc>
          <w:tcPr>
            <w:tcW w:w="5000" w:type="pct"/>
            <w:gridSpan w:val="6"/>
            <w:shd w:val="clear" w:color="auto" w:fill="9CC2E5" w:themeFill="accent1" w:themeFillTint="99"/>
            <w:vAlign w:val="bottom"/>
          </w:tcPr>
          <w:p w:rsidR="006B7DC6" w:rsidRPr="003C18B5" w:rsidRDefault="006B7DC6" w:rsidP="005742D4">
            <w:pPr>
              <w:spacing w:after="0"/>
              <w:jc w:val="left"/>
              <w:rPr>
                <w:rFonts w:ascii="Arial" w:hAnsi="Arial" w:cs="Arial"/>
              </w:rPr>
            </w:pPr>
            <w:r w:rsidRPr="003C18B5">
              <w:rPr>
                <w:rFonts w:ascii="Arial" w:hAnsi="Arial" w:cs="Arial"/>
              </w:rPr>
              <w:t>1.1.- Áreas de conocimiento</w:t>
            </w:r>
          </w:p>
        </w:tc>
      </w:tr>
      <w:tr w:rsidR="006B7DC6" w:rsidRPr="003C18B5" w:rsidTr="00941FB7">
        <w:trPr>
          <w:trHeight w:val="299"/>
        </w:trPr>
        <w:tc>
          <w:tcPr>
            <w:tcW w:w="1291" w:type="pct"/>
            <w:vAlign w:val="center"/>
          </w:tcPr>
          <w:p w:rsidR="006B7DC6" w:rsidRPr="003C18B5" w:rsidRDefault="006B7DC6" w:rsidP="005742D4">
            <w:pPr>
              <w:spacing w:after="0"/>
              <w:rPr>
                <w:rFonts w:ascii="Arial" w:hAnsi="Arial" w:cs="Arial"/>
              </w:rPr>
            </w:pPr>
            <w:r w:rsidRPr="003C18B5">
              <w:rPr>
                <w:rFonts w:ascii="Arial" w:hAnsi="Arial" w:cs="Arial"/>
              </w:rPr>
              <w:t>Ciencias Sociales</w:t>
            </w:r>
          </w:p>
        </w:tc>
        <w:tc>
          <w:tcPr>
            <w:tcW w:w="183" w:type="pct"/>
          </w:tcPr>
          <w:p w:rsidR="006B7DC6" w:rsidRPr="003C18B5" w:rsidRDefault="006B7DC6" w:rsidP="005742D4">
            <w:pPr>
              <w:spacing w:after="0"/>
              <w:rPr>
                <w:rFonts w:ascii="Arial" w:hAnsi="Arial" w:cs="Arial"/>
              </w:rPr>
            </w:pPr>
          </w:p>
        </w:tc>
        <w:tc>
          <w:tcPr>
            <w:tcW w:w="1565" w:type="pct"/>
            <w:vAlign w:val="center"/>
          </w:tcPr>
          <w:p w:rsidR="006B7DC6" w:rsidRPr="003C18B5" w:rsidRDefault="006B7DC6" w:rsidP="005742D4">
            <w:pPr>
              <w:spacing w:after="0"/>
              <w:rPr>
                <w:rFonts w:ascii="Arial" w:hAnsi="Arial" w:cs="Arial"/>
              </w:rPr>
            </w:pPr>
            <w:r w:rsidRPr="003C18B5">
              <w:rPr>
                <w:rFonts w:ascii="Arial" w:hAnsi="Arial" w:cs="Arial"/>
              </w:rPr>
              <w:t>Ciencias de la Vida y Salud</w:t>
            </w:r>
          </w:p>
        </w:tc>
        <w:tc>
          <w:tcPr>
            <w:tcW w:w="200" w:type="pct"/>
          </w:tcPr>
          <w:p w:rsidR="006B7DC6" w:rsidRPr="003C18B5" w:rsidRDefault="006B7DC6" w:rsidP="005742D4">
            <w:pPr>
              <w:spacing w:after="0"/>
              <w:rPr>
                <w:rFonts w:ascii="Arial" w:hAnsi="Arial" w:cs="Arial"/>
              </w:rPr>
            </w:pPr>
          </w:p>
        </w:tc>
        <w:tc>
          <w:tcPr>
            <w:tcW w:w="1281" w:type="pct"/>
            <w:vAlign w:val="center"/>
          </w:tcPr>
          <w:p w:rsidR="006B7DC6" w:rsidRPr="003C18B5" w:rsidRDefault="006B7DC6" w:rsidP="00683F9F">
            <w:pPr>
              <w:spacing w:after="0"/>
              <w:rPr>
                <w:rFonts w:ascii="Arial" w:hAnsi="Arial" w:cs="Arial"/>
              </w:rPr>
            </w:pPr>
            <w:r w:rsidRPr="003C18B5">
              <w:rPr>
                <w:rFonts w:ascii="Arial" w:hAnsi="Arial" w:cs="Arial"/>
              </w:rPr>
              <w:t xml:space="preserve">Ciencias </w:t>
            </w:r>
            <w:r w:rsidR="00683F9F" w:rsidRPr="003C18B5">
              <w:rPr>
                <w:rFonts w:ascii="Arial" w:hAnsi="Arial" w:cs="Arial"/>
              </w:rPr>
              <w:t>Exactas</w:t>
            </w:r>
          </w:p>
        </w:tc>
        <w:tc>
          <w:tcPr>
            <w:tcW w:w="480" w:type="pct"/>
          </w:tcPr>
          <w:p w:rsidR="006B7DC6" w:rsidRPr="003C18B5" w:rsidRDefault="00BB09DA" w:rsidP="005742D4">
            <w:pPr>
              <w:spacing w:after="0"/>
              <w:rPr>
                <w:rFonts w:ascii="Arial" w:hAnsi="Arial" w:cs="Arial"/>
              </w:rPr>
            </w:pPr>
            <w:r w:rsidRPr="003C18B5">
              <w:rPr>
                <w:rFonts w:ascii="Arial" w:hAnsi="Arial" w:cs="Arial"/>
              </w:rPr>
              <w:t>X</w:t>
            </w:r>
          </w:p>
        </w:tc>
      </w:tr>
    </w:tbl>
    <w:tbl>
      <w:tblPr>
        <w:tblStyle w:val="Tablaconcuadrcula"/>
        <w:tblW w:w="9634" w:type="dxa"/>
        <w:tblLayout w:type="fixed"/>
        <w:tblLook w:val="04A0"/>
      </w:tblPr>
      <w:tblGrid>
        <w:gridCol w:w="9634"/>
      </w:tblGrid>
      <w:tr w:rsidR="006B7DC6" w:rsidRPr="003C18B5" w:rsidTr="00941FB7">
        <w:trPr>
          <w:trHeight w:val="261"/>
        </w:trPr>
        <w:tc>
          <w:tcPr>
            <w:tcW w:w="9634" w:type="dxa"/>
            <w:shd w:val="clear" w:color="auto" w:fill="9CC2E5" w:themeFill="accent1" w:themeFillTint="99"/>
            <w:vAlign w:val="bottom"/>
          </w:tcPr>
          <w:p w:rsidR="006B7DC6" w:rsidRPr="003C18B5" w:rsidRDefault="006B7DC6" w:rsidP="005742D4">
            <w:pPr>
              <w:spacing w:after="0"/>
              <w:rPr>
                <w:rFonts w:ascii="Arial" w:hAnsi="Arial" w:cs="Arial"/>
              </w:rPr>
            </w:pPr>
            <w:r w:rsidRPr="003C18B5">
              <w:rPr>
                <w:rFonts w:ascii="Arial" w:hAnsi="Arial" w:cs="Arial"/>
              </w:rPr>
              <w:t>1.2.- Título del Proyecto</w:t>
            </w:r>
          </w:p>
        </w:tc>
      </w:tr>
      <w:tr w:rsidR="006B7DC6" w:rsidRPr="003C18B5" w:rsidTr="00803F4C">
        <w:trPr>
          <w:trHeight w:val="548"/>
        </w:trPr>
        <w:tc>
          <w:tcPr>
            <w:tcW w:w="9634" w:type="dxa"/>
            <w:vAlign w:val="center"/>
          </w:tcPr>
          <w:p w:rsidR="006B7DC6" w:rsidRPr="003C18B5" w:rsidRDefault="008643EE" w:rsidP="00803F4C">
            <w:pPr>
              <w:spacing w:before="120" w:after="120"/>
              <w:jc w:val="center"/>
              <w:rPr>
                <w:rFonts w:ascii="Arial" w:hAnsi="Arial" w:cs="Arial"/>
              </w:rPr>
            </w:pPr>
            <w:r w:rsidRPr="003C18B5">
              <w:rPr>
                <w:rFonts w:ascii="Arial" w:hAnsi="Arial" w:cs="Arial"/>
              </w:rPr>
              <w:t xml:space="preserve">Diseño, síntesis y </w:t>
            </w:r>
            <w:r w:rsidR="003C18B5">
              <w:rPr>
                <w:rFonts w:ascii="Arial" w:hAnsi="Arial" w:cs="Arial"/>
              </w:rPr>
              <w:t xml:space="preserve">potencial </w:t>
            </w:r>
            <w:r w:rsidRPr="003C18B5">
              <w:rPr>
                <w:rFonts w:ascii="Arial" w:hAnsi="Arial" w:cs="Arial"/>
              </w:rPr>
              <w:t>bioactividad de compuestos basados en quinolinas.</w:t>
            </w:r>
          </w:p>
        </w:tc>
      </w:tr>
    </w:tbl>
    <w:p w:rsidR="006B7DC6" w:rsidRPr="003C18B5" w:rsidRDefault="006B7DC6" w:rsidP="00803F4C">
      <w:pPr>
        <w:spacing w:after="0"/>
        <w:rPr>
          <w:rFonts w:ascii="Arial" w:hAnsi="Arial" w:cs="Arial"/>
          <w:b/>
        </w:rPr>
      </w:pPr>
    </w:p>
    <w:tbl>
      <w:tblPr>
        <w:tblStyle w:val="Tablaconcuadrcula"/>
        <w:tblW w:w="9606" w:type="dxa"/>
        <w:tblLayout w:type="fixed"/>
        <w:tblLook w:val="04A0"/>
      </w:tblPr>
      <w:tblGrid>
        <w:gridCol w:w="3202"/>
        <w:gridCol w:w="3202"/>
        <w:gridCol w:w="3202"/>
      </w:tblGrid>
      <w:tr w:rsidR="00FD0462" w:rsidRPr="003C18B5" w:rsidTr="002048FF">
        <w:trPr>
          <w:trHeight w:val="261"/>
        </w:trPr>
        <w:tc>
          <w:tcPr>
            <w:tcW w:w="9606" w:type="dxa"/>
            <w:gridSpan w:val="3"/>
            <w:shd w:val="clear" w:color="auto" w:fill="9CC2E5" w:themeFill="accent1" w:themeFillTint="99"/>
            <w:vAlign w:val="bottom"/>
          </w:tcPr>
          <w:p w:rsidR="00FD0462" w:rsidRPr="003C18B5" w:rsidRDefault="00FD0462" w:rsidP="005742D4">
            <w:pPr>
              <w:spacing w:after="0"/>
              <w:rPr>
                <w:rFonts w:ascii="Arial" w:hAnsi="Arial" w:cs="Arial"/>
              </w:rPr>
            </w:pPr>
            <w:r w:rsidRPr="003C18B5">
              <w:rPr>
                <w:rFonts w:ascii="Arial" w:hAnsi="Arial" w:cs="Arial"/>
              </w:rPr>
              <w:t>1.3.- Fuentes de Financiamiento</w:t>
            </w:r>
          </w:p>
        </w:tc>
      </w:tr>
      <w:tr w:rsidR="00FD0462" w:rsidRPr="003C18B5" w:rsidTr="005742D4">
        <w:trPr>
          <w:trHeight w:val="548"/>
        </w:trPr>
        <w:tc>
          <w:tcPr>
            <w:tcW w:w="3202" w:type="dxa"/>
          </w:tcPr>
          <w:p w:rsidR="00FD0462" w:rsidRPr="003C18B5" w:rsidRDefault="00FD0462" w:rsidP="005742D4">
            <w:pPr>
              <w:rPr>
                <w:rFonts w:ascii="Arial" w:hAnsi="Arial" w:cs="Arial"/>
              </w:rPr>
            </w:pPr>
            <w:r w:rsidRPr="003C18B5">
              <w:rPr>
                <w:rFonts w:ascii="Arial" w:hAnsi="Arial" w:cs="Arial"/>
              </w:rPr>
              <w:t>Financiamiento</w:t>
            </w:r>
            <w:r w:rsidR="00B75256" w:rsidRPr="003C18B5">
              <w:rPr>
                <w:rFonts w:ascii="Arial" w:hAnsi="Arial" w:cs="Arial"/>
              </w:rPr>
              <w:t xml:space="preserve"> </w:t>
            </w:r>
          </w:p>
        </w:tc>
        <w:tc>
          <w:tcPr>
            <w:tcW w:w="3202" w:type="dxa"/>
          </w:tcPr>
          <w:p w:rsidR="00FD0462" w:rsidRPr="003C18B5" w:rsidRDefault="00B75256" w:rsidP="005742D4">
            <w:pPr>
              <w:spacing w:after="0"/>
              <w:rPr>
                <w:rFonts w:ascii="Arial" w:hAnsi="Arial" w:cs="Arial"/>
              </w:rPr>
            </w:pPr>
            <w:r w:rsidRPr="003C18B5">
              <w:rPr>
                <w:rFonts w:ascii="Arial" w:hAnsi="Arial" w:cs="Arial"/>
              </w:rPr>
              <w:t>Si</w:t>
            </w:r>
          </w:p>
        </w:tc>
        <w:tc>
          <w:tcPr>
            <w:tcW w:w="3202" w:type="dxa"/>
          </w:tcPr>
          <w:p w:rsidR="00FD0462" w:rsidRPr="003C18B5" w:rsidRDefault="00FD0462" w:rsidP="005742D4">
            <w:pPr>
              <w:spacing w:after="0"/>
              <w:rPr>
                <w:rFonts w:ascii="Arial" w:hAnsi="Arial" w:cs="Arial"/>
              </w:rPr>
            </w:pPr>
            <w:r w:rsidRPr="003C18B5">
              <w:rPr>
                <w:rFonts w:ascii="Arial" w:hAnsi="Arial" w:cs="Arial"/>
              </w:rPr>
              <w:t>Ingrese el monto en caso de que la opción sea SI</w:t>
            </w:r>
          </w:p>
        </w:tc>
      </w:tr>
      <w:tr w:rsidR="00FD0462" w:rsidRPr="003C18B5" w:rsidTr="005742D4">
        <w:trPr>
          <w:trHeight w:val="548"/>
        </w:trPr>
        <w:tc>
          <w:tcPr>
            <w:tcW w:w="3202" w:type="dxa"/>
          </w:tcPr>
          <w:p w:rsidR="00FD0462" w:rsidRPr="003C18B5" w:rsidRDefault="00FD0462" w:rsidP="00627344">
            <w:pPr>
              <w:pStyle w:val="Sinespaciado"/>
              <w:rPr>
                <w:rFonts w:ascii="Arial" w:hAnsi="Arial" w:cs="Arial"/>
              </w:rPr>
            </w:pPr>
            <w:r w:rsidRPr="003C18B5">
              <w:rPr>
                <w:rFonts w:ascii="Arial" w:hAnsi="Arial" w:cs="Arial"/>
              </w:rPr>
              <w:t>Fondos Uce Concursable</w:t>
            </w:r>
          </w:p>
          <w:p w:rsidR="00627344" w:rsidRPr="003C18B5" w:rsidRDefault="00627344" w:rsidP="00627344">
            <w:pPr>
              <w:pStyle w:val="Sinespaciado"/>
              <w:rPr>
                <w:rFonts w:ascii="Arial" w:hAnsi="Arial" w:cs="Arial"/>
              </w:rPr>
            </w:pPr>
            <w:r w:rsidRPr="003C18B5">
              <w:rPr>
                <w:rFonts w:ascii="Arial" w:hAnsi="Arial" w:cs="Arial"/>
              </w:rPr>
              <w:t>Máximo $3000</w:t>
            </w:r>
          </w:p>
        </w:tc>
        <w:sdt>
          <w:sdtPr>
            <w:rPr>
              <w:rFonts w:ascii="Arial" w:hAnsi="Arial" w:cs="Arial"/>
            </w:rPr>
            <w:alias w:val="Seleccione"/>
            <w:tag w:val="Seleccione"/>
            <w:id w:val="257096395"/>
            <w:placeholder>
              <w:docPart w:val="DefaultPlaceholder_1081868575"/>
            </w:placeholder>
            <w:dropDownList>
              <w:listItem w:displayText="SI" w:value="SI"/>
              <w:listItem w:displayText="NO" w:value="NO"/>
            </w:dropDownList>
          </w:sdtPr>
          <w:sdtContent>
            <w:tc>
              <w:tcPr>
                <w:tcW w:w="3202" w:type="dxa"/>
              </w:tcPr>
              <w:p w:rsidR="00FD0462" w:rsidRPr="003C18B5" w:rsidRDefault="00B75256" w:rsidP="005742D4">
                <w:pPr>
                  <w:spacing w:after="0"/>
                  <w:rPr>
                    <w:rFonts w:ascii="Arial" w:hAnsi="Arial" w:cs="Arial"/>
                  </w:rPr>
                </w:pPr>
                <w:r w:rsidRPr="003C18B5">
                  <w:rPr>
                    <w:rFonts w:ascii="Arial" w:hAnsi="Arial" w:cs="Arial"/>
                  </w:rPr>
                  <w:t>SI</w:t>
                </w:r>
              </w:p>
            </w:tc>
          </w:sdtContent>
        </w:sdt>
        <w:tc>
          <w:tcPr>
            <w:tcW w:w="3202" w:type="dxa"/>
          </w:tcPr>
          <w:p w:rsidR="00FD0462" w:rsidRPr="003C18B5" w:rsidRDefault="004B6DDD" w:rsidP="005742D4">
            <w:pPr>
              <w:spacing w:after="0"/>
              <w:rPr>
                <w:rFonts w:ascii="Arial" w:hAnsi="Arial" w:cs="Arial"/>
              </w:rPr>
            </w:pPr>
            <w:r w:rsidRPr="003C18B5">
              <w:rPr>
                <w:rFonts w:ascii="Arial" w:hAnsi="Arial" w:cs="Arial"/>
              </w:rPr>
              <w:t>Monto Total $:</w:t>
            </w:r>
            <w:r w:rsidR="00B75256" w:rsidRPr="003C18B5">
              <w:rPr>
                <w:rFonts w:ascii="Arial" w:hAnsi="Arial" w:cs="Arial"/>
              </w:rPr>
              <w:t xml:space="preserve"> 3000</w:t>
            </w:r>
          </w:p>
        </w:tc>
      </w:tr>
      <w:tr w:rsidR="00FD0462" w:rsidRPr="003C18B5" w:rsidTr="005742D4">
        <w:trPr>
          <w:trHeight w:val="548"/>
        </w:trPr>
        <w:tc>
          <w:tcPr>
            <w:tcW w:w="3202" w:type="dxa"/>
          </w:tcPr>
          <w:p w:rsidR="00FD0462" w:rsidRPr="003C18B5" w:rsidRDefault="00FD0462" w:rsidP="005742D4">
            <w:pPr>
              <w:rPr>
                <w:rFonts w:ascii="Arial" w:hAnsi="Arial" w:cs="Arial"/>
              </w:rPr>
            </w:pPr>
            <w:r w:rsidRPr="003C18B5">
              <w:rPr>
                <w:rFonts w:ascii="Arial" w:hAnsi="Arial" w:cs="Arial"/>
              </w:rPr>
              <w:t>Fondos Propios</w:t>
            </w:r>
          </w:p>
        </w:tc>
        <w:sdt>
          <w:sdtPr>
            <w:rPr>
              <w:rFonts w:ascii="Arial" w:hAnsi="Arial" w:cs="Arial"/>
            </w:rPr>
            <w:alias w:val="Seleccione"/>
            <w:tag w:val="Seleccione"/>
            <w:id w:val="-1678580281"/>
            <w:placeholder>
              <w:docPart w:val="E98838003F89486EB35A5C9F12A90CB5"/>
            </w:placeholder>
            <w:showingPlcHdr/>
            <w:dropDownList>
              <w:listItem w:displayText="SI" w:value="SI"/>
              <w:listItem w:displayText="NO" w:value="NO"/>
            </w:dropDownList>
          </w:sdtPr>
          <w:sdtContent>
            <w:tc>
              <w:tcPr>
                <w:tcW w:w="3202" w:type="dxa"/>
              </w:tcPr>
              <w:p w:rsidR="00FD0462" w:rsidRPr="003C18B5" w:rsidRDefault="00FD0462" w:rsidP="005742D4">
                <w:pPr>
                  <w:rPr>
                    <w:rFonts w:ascii="Arial" w:hAnsi="Arial" w:cs="Arial"/>
                  </w:rPr>
                </w:pPr>
                <w:r w:rsidRPr="003C18B5">
                  <w:rPr>
                    <w:rStyle w:val="Textodelmarcadordeposicin"/>
                    <w:rFonts w:ascii="Arial" w:hAnsi="Arial" w:cs="Arial"/>
                  </w:rPr>
                  <w:t>Elija un elemento.</w:t>
                </w:r>
              </w:p>
            </w:tc>
          </w:sdtContent>
        </w:sdt>
        <w:tc>
          <w:tcPr>
            <w:tcW w:w="3202" w:type="dxa"/>
          </w:tcPr>
          <w:p w:rsidR="00FD0462" w:rsidRPr="003C18B5" w:rsidRDefault="00AF3014" w:rsidP="005742D4">
            <w:pPr>
              <w:rPr>
                <w:rFonts w:ascii="Arial" w:hAnsi="Arial" w:cs="Arial"/>
              </w:rPr>
            </w:pPr>
            <w:r w:rsidRPr="003C18B5">
              <w:rPr>
                <w:rFonts w:ascii="Arial" w:hAnsi="Arial" w:cs="Arial"/>
              </w:rPr>
              <w:t>Monto Total $:</w:t>
            </w:r>
          </w:p>
        </w:tc>
      </w:tr>
    </w:tbl>
    <w:p w:rsidR="00FD0462" w:rsidRPr="003C18B5" w:rsidRDefault="00FD0462" w:rsidP="00F635FC">
      <w:pPr>
        <w:rPr>
          <w:rFonts w:ascii="Arial" w:hAnsi="Arial" w:cs="Arial"/>
          <w:b/>
        </w:rPr>
      </w:pPr>
    </w:p>
    <w:tbl>
      <w:tblPr>
        <w:tblStyle w:val="Tablaconcuadrcula"/>
        <w:tblW w:w="9606" w:type="dxa"/>
        <w:tblLayout w:type="fixed"/>
        <w:tblLook w:val="04A0"/>
      </w:tblPr>
      <w:tblGrid>
        <w:gridCol w:w="3202"/>
        <w:gridCol w:w="6404"/>
      </w:tblGrid>
      <w:tr w:rsidR="00FD0462" w:rsidRPr="003C18B5" w:rsidTr="002048FF">
        <w:trPr>
          <w:trHeight w:val="261"/>
        </w:trPr>
        <w:tc>
          <w:tcPr>
            <w:tcW w:w="9606" w:type="dxa"/>
            <w:gridSpan w:val="2"/>
            <w:shd w:val="clear" w:color="auto" w:fill="9CC2E5" w:themeFill="accent1" w:themeFillTint="99"/>
            <w:vAlign w:val="bottom"/>
          </w:tcPr>
          <w:p w:rsidR="00FD0462" w:rsidRPr="003C18B5" w:rsidRDefault="00FD0462" w:rsidP="00B668D0">
            <w:pPr>
              <w:spacing w:after="0"/>
              <w:rPr>
                <w:rFonts w:ascii="Arial" w:hAnsi="Arial" w:cs="Arial"/>
              </w:rPr>
            </w:pPr>
            <w:r w:rsidRPr="003C18B5">
              <w:rPr>
                <w:rFonts w:ascii="Arial" w:hAnsi="Arial" w:cs="Arial"/>
              </w:rPr>
              <w:t>1.</w:t>
            </w:r>
            <w:r w:rsidR="00B668D0" w:rsidRPr="003C18B5">
              <w:rPr>
                <w:rFonts w:ascii="Arial" w:hAnsi="Arial" w:cs="Arial"/>
              </w:rPr>
              <w:t>4</w:t>
            </w:r>
            <w:r w:rsidRPr="003C18B5">
              <w:rPr>
                <w:rFonts w:ascii="Arial" w:hAnsi="Arial" w:cs="Arial"/>
              </w:rPr>
              <w:t>.- Duración del Proyecto</w:t>
            </w:r>
          </w:p>
        </w:tc>
      </w:tr>
      <w:tr w:rsidR="00FD0462" w:rsidRPr="003C18B5" w:rsidTr="00182B6C">
        <w:trPr>
          <w:trHeight w:val="704"/>
        </w:trPr>
        <w:tc>
          <w:tcPr>
            <w:tcW w:w="3202" w:type="dxa"/>
          </w:tcPr>
          <w:p w:rsidR="00FD0462" w:rsidRPr="003C18B5" w:rsidRDefault="00FD0462" w:rsidP="00182B6C">
            <w:pPr>
              <w:pStyle w:val="Sinespaciado"/>
              <w:rPr>
                <w:rFonts w:ascii="Arial" w:hAnsi="Arial" w:cs="Arial"/>
              </w:rPr>
            </w:pPr>
            <w:r w:rsidRPr="003C18B5">
              <w:rPr>
                <w:rFonts w:ascii="Arial" w:hAnsi="Arial" w:cs="Arial"/>
              </w:rPr>
              <w:t>Número de Meses estimados</w:t>
            </w:r>
          </w:p>
          <w:p w:rsidR="00182B6C" w:rsidRPr="003C18B5" w:rsidRDefault="00182B6C" w:rsidP="00182B6C">
            <w:pPr>
              <w:pStyle w:val="Sinespaciado"/>
              <w:rPr>
                <w:rFonts w:ascii="Arial" w:hAnsi="Arial" w:cs="Arial"/>
              </w:rPr>
            </w:pPr>
            <w:r w:rsidRPr="003C18B5">
              <w:rPr>
                <w:rFonts w:ascii="Arial" w:hAnsi="Arial" w:cs="Arial"/>
                <w:color w:val="FF0000"/>
              </w:rPr>
              <w:t>Máximo 6 meses</w:t>
            </w:r>
          </w:p>
        </w:tc>
        <w:sdt>
          <w:sdtPr>
            <w:rPr>
              <w:rFonts w:ascii="Arial" w:hAnsi="Arial" w:cs="Arial"/>
            </w:rPr>
            <w:alias w:val="Seleccione"/>
            <w:tag w:val="Seleccione"/>
            <w:id w:val="-1172095963"/>
            <w:placeholder>
              <w:docPart w:val="E6BCBC2039744F9A95CE50517CF0EBA5"/>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Content>
            <w:tc>
              <w:tcPr>
                <w:tcW w:w="6404" w:type="dxa"/>
              </w:tcPr>
              <w:p w:rsidR="00FD0462" w:rsidRPr="003C18B5" w:rsidRDefault="00B75256" w:rsidP="005742D4">
                <w:pPr>
                  <w:spacing w:after="0"/>
                  <w:rPr>
                    <w:rFonts w:ascii="Arial" w:hAnsi="Arial" w:cs="Arial"/>
                  </w:rPr>
                </w:pPr>
                <w:r w:rsidRPr="003C18B5">
                  <w:rPr>
                    <w:rFonts w:ascii="Arial" w:hAnsi="Arial" w:cs="Arial"/>
                  </w:rPr>
                  <w:t>6</w:t>
                </w:r>
              </w:p>
            </w:tc>
          </w:sdtContent>
        </w:sdt>
      </w:tr>
    </w:tbl>
    <w:p w:rsidR="00FD0462" w:rsidRPr="003C18B5" w:rsidRDefault="00FD0462" w:rsidP="00F635FC">
      <w:pPr>
        <w:rPr>
          <w:rFonts w:ascii="Arial" w:hAnsi="Arial" w:cs="Arial"/>
          <w:b/>
        </w:rPr>
      </w:pPr>
    </w:p>
    <w:p w:rsidR="007976F1" w:rsidRPr="003C18B5" w:rsidRDefault="007976F1" w:rsidP="00F635FC">
      <w:pPr>
        <w:rPr>
          <w:rFonts w:ascii="Arial" w:hAnsi="Arial" w:cs="Arial"/>
          <w:b/>
        </w:rPr>
      </w:pPr>
    </w:p>
    <w:p w:rsidR="007976F1" w:rsidRPr="003C18B5" w:rsidRDefault="007976F1" w:rsidP="00F635FC">
      <w:pPr>
        <w:rPr>
          <w:rFonts w:ascii="Arial" w:hAnsi="Arial" w:cs="Arial"/>
          <w:b/>
        </w:rPr>
      </w:pPr>
    </w:p>
    <w:p w:rsidR="007976F1" w:rsidRPr="003C18B5" w:rsidRDefault="007976F1" w:rsidP="00F635FC">
      <w:pPr>
        <w:rPr>
          <w:rFonts w:ascii="Arial" w:hAnsi="Arial" w:cs="Arial"/>
          <w:b/>
        </w:rPr>
      </w:pPr>
    </w:p>
    <w:p w:rsidR="00897ECC" w:rsidRPr="003C18B5" w:rsidRDefault="00897ECC" w:rsidP="00F635FC">
      <w:pPr>
        <w:rPr>
          <w:rFonts w:ascii="Arial" w:hAnsi="Arial" w:cs="Arial"/>
          <w:b/>
        </w:rPr>
      </w:pPr>
    </w:p>
    <w:tbl>
      <w:tblPr>
        <w:tblStyle w:val="Tablaconcuadrcula"/>
        <w:tblW w:w="9398" w:type="dxa"/>
        <w:tblInd w:w="-5" w:type="dxa"/>
        <w:tblLayout w:type="fixed"/>
        <w:tblLook w:val="04A0"/>
      </w:tblPr>
      <w:tblGrid>
        <w:gridCol w:w="9398"/>
      </w:tblGrid>
      <w:tr w:rsidR="00B668D0" w:rsidRPr="003C18B5" w:rsidTr="005742D4">
        <w:trPr>
          <w:trHeight w:val="261"/>
        </w:trPr>
        <w:tc>
          <w:tcPr>
            <w:tcW w:w="9398" w:type="dxa"/>
            <w:shd w:val="clear" w:color="auto" w:fill="D9D9D9" w:themeFill="background1" w:themeFillShade="D9"/>
            <w:vAlign w:val="bottom"/>
          </w:tcPr>
          <w:p w:rsidR="00B668D0" w:rsidRPr="003C18B5" w:rsidRDefault="00B668D0" w:rsidP="00B668D0">
            <w:pPr>
              <w:spacing w:after="0"/>
              <w:rPr>
                <w:rFonts w:ascii="Arial" w:hAnsi="Arial" w:cs="Arial"/>
              </w:rPr>
            </w:pPr>
            <w:r w:rsidRPr="003C18B5">
              <w:rPr>
                <w:rFonts w:ascii="Arial" w:hAnsi="Arial" w:cs="Arial"/>
                <w:b/>
              </w:rPr>
              <w:lastRenderedPageBreak/>
              <w:t>2.- PARTICIPANTES EN LA EJECUCIÓN DEL PROYECTO</w:t>
            </w:r>
          </w:p>
        </w:tc>
      </w:tr>
    </w:tbl>
    <w:p w:rsidR="00B668D0" w:rsidRPr="003C18B5" w:rsidRDefault="00B668D0" w:rsidP="00F635FC">
      <w:pPr>
        <w:rPr>
          <w:rFonts w:ascii="Arial" w:hAnsi="Arial" w:cs="Arial"/>
          <w:b/>
        </w:rPr>
      </w:pPr>
    </w:p>
    <w:tbl>
      <w:tblPr>
        <w:tblStyle w:val="Tablaconcuadrcula"/>
        <w:tblW w:w="0" w:type="auto"/>
        <w:tblLook w:val="04A0"/>
      </w:tblPr>
      <w:tblGrid>
        <w:gridCol w:w="2093"/>
        <w:gridCol w:w="2352"/>
        <w:gridCol w:w="2069"/>
        <w:gridCol w:w="3106"/>
      </w:tblGrid>
      <w:tr w:rsidR="00B668D0" w:rsidRPr="003C18B5" w:rsidTr="00AE76C9">
        <w:tc>
          <w:tcPr>
            <w:tcW w:w="9394" w:type="dxa"/>
            <w:gridSpan w:val="4"/>
            <w:shd w:val="clear" w:color="auto" w:fill="9CC2E5" w:themeFill="accent1" w:themeFillTint="99"/>
          </w:tcPr>
          <w:p w:rsidR="00B668D0" w:rsidRPr="003C18B5" w:rsidRDefault="00B668D0" w:rsidP="002048FF">
            <w:pPr>
              <w:jc w:val="left"/>
              <w:rPr>
                <w:rFonts w:ascii="Arial" w:hAnsi="Arial" w:cs="Arial"/>
                <w:b/>
              </w:rPr>
            </w:pPr>
            <w:r w:rsidRPr="003C18B5">
              <w:rPr>
                <w:rFonts w:ascii="Arial" w:hAnsi="Arial" w:cs="Arial"/>
                <w:b/>
              </w:rPr>
              <w:t>INVESTIGADOR – DIRECTOR DEL PROYECTO (DOCENTE TITULAR TIEMPO COMPLETO)</w:t>
            </w:r>
          </w:p>
        </w:tc>
      </w:tr>
      <w:tr w:rsidR="00B668D0" w:rsidRPr="003C18B5" w:rsidTr="00AE76C9">
        <w:tc>
          <w:tcPr>
            <w:tcW w:w="2357" w:type="dxa"/>
          </w:tcPr>
          <w:p w:rsidR="00B668D0" w:rsidRPr="003C18B5" w:rsidRDefault="00B668D0" w:rsidP="00F635FC">
            <w:pPr>
              <w:rPr>
                <w:rFonts w:ascii="Arial" w:hAnsi="Arial" w:cs="Arial"/>
              </w:rPr>
            </w:pPr>
            <w:r w:rsidRPr="003C18B5">
              <w:rPr>
                <w:rFonts w:ascii="Arial" w:hAnsi="Arial" w:cs="Arial"/>
              </w:rPr>
              <w:t>Apellidos</w:t>
            </w:r>
          </w:p>
        </w:tc>
        <w:tc>
          <w:tcPr>
            <w:tcW w:w="2352" w:type="dxa"/>
          </w:tcPr>
          <w:p w:rsidR="00B668D0" w:rsidRPr="003C18B5" w:rsidRDefault="00B75256" w:rsidP="00F635FC">
            <w:pPr>
              <w:rPr>
                <w:rFonts w:ascii="Arial" w:hAnsi="Arial" w:cs="Arial"/>
              </w:rPr>
            </w:pPr>
            <w:r w:rsidRPr="003C18B5">
              <w:rPr>
                <w:rFonts w:ascii="Arial" w:hAnsi="Arial" w:cs="Arial"/>
              </w:rPr>
              <w:t>Parra</w:t>
            </w:r>
          </w:p>
        </w:tc>
        <w:tc>
          <w:tcPr>
            <w:tcW w:w="2358" w:type="dxa"/>
          </w:tcPr>
          <w:p w:rsidR="00B668D0" w:rsidRPr="003C18B5" w:rsidRDefault="00B668D0" w:rsidP="00F635FC">
            <w:pPr>
              <w:rPr>
                <w:rFonts w:ascii="Arial" w:hAnsi="Arial" w:cs="Arial"/>
              </w:rPr>
            </w:pPr>
            <w:r w:rsidRPr="003C18B5">
              <w:rPr>
                <w:rFonts w:ascii="Arial" w:hAnsi="Arial" w:cs="Arial"/>
              </w:rPr>
              <w:t>Nombres</w:t>
            </w:r>
          </w:p>
        </w:tc>
        <w:tc>
          <w:tcPr>
            <w:tcW w:w="2327" w:type="dxa"/>
          </w:tcPr>
          <w:p w:rsidR="00B668D0" w:rsidRPr="003C18B5" w:rsidRDefault="00B75256" w:rsidP="00F635FC">
            <w:pPr>
              <w:rPr>
                <w:rFonts w:ascii="Arial" w:hAnsi="Arial" w:cs="Arial"/>
              </w:rPr>
            </w:pPr>
            <w:r w:rsidRPr="003C18B5">
              <w:rPr>
                <w:rFonts w:ascii="Arial" w:hAnsi="Arial" w:cs="Arial"/>
              </w:rPr>
              <w:t>Yonathan de Jesús</w:t>
            </w:r>
          </w:p>
        </w:tc>
      </w:tr>
      <w:tr w:rsidR="00B668D0" w:rsidRPr="003C18B5" w:rsidTr="00AE76C9">
        <w:tc>
          <w:tcPr>
            <w:tcW w:w="2357" w:type="dxa"/>
          </w:tcPr>
          <w:p w:rsidR="00B668D0" w:rsidRPr="003C18B5" w:rsidRDefault="00B668D0" w:rsidP="00F635FC">
            <w:pPr>
              <w:rPr>
                <w:rFonts w:ascii="Arial" w:hAnsi="Arial" w:cs="Arial"/>
              </w:rPr>
            </w:pPr>
            <w:r w:rsidRPr="003C18B5">
              <w:rPr>
                <w:rFonts w:ascii="Arial" w:hAnsi="Arial" w:cs="Arial"/>
              </w:rPr>
              <w:t>Numero de cedula de identidad</w:t>
            </w:r>
          </w:p>
        </w:tc>
        <w:tc>
          <w:tcPr>
            <w:tcW w:w="2352" w:type="dxa"/>
          </w:tcPr>
          <w:p w:rsidR="00B668D0" w:rsidRPr="003C18B5" w:rsidRDefault="00B461CC" w:rsidP="00F635FC">
            <w:pPr>
              <w:rPr>
                <w:rFonts w:ascii="Arial" w:hAnsi="Arial" w:cs="Arial"/>
              </w:rPr>
            </w:pPr>
            <w:r w:rsidRPr="003C18B5">
              <w:rPr>
                <w:rFonts w:ascii="Arial" w:hAnsi="Arial" w:cs="Arial"/>
              </w:rPr>
              <w:t>1757341969</w:t>
            </w:r>
          </w:p>
        </w:tc>
        <w:tc>
          <w:tcPr>
            <w:tcW w:w="2358" w:type="dxa"/>
          </w:tcPr>
          <w:p w:rsidR="00B668D0" w:rsidRPr="003C18B5" w:rsidRDefault="00B668D0" w:rsidP="00F635FC">
            <w:pPr>
              <w:rPr>
                <w:rFonts w:ascii="Arial" w:hAnsi="Arial" w:cs="Arial"/>
              </w:rPr>
            </w:pPr>
            <w:r w:rsidRPr="003C18B5">
              <w:rPr>
                <w:rFonts w:ascii="Arial" w:hAnsi="Arial" w:cs="Arial"/>
              </w:rPr>
              <w:t>Dirección Domiciliaria</w:t>
            </w:r>
          </w:p>
        </w:tc>
        <w:tc>
          <w:tcPr>
            <w:tcW w:w="2327" w:type="dxa"/>
          </w:tcPr>
          <w:p w:rsidR="00B461CC" w:rsidRPr="003C18B5" w:rsidRDefault="00B461CC" w:rsidP="00B461CC">
            <w:pPr>
              <w:autoSpaceDE w:val="0"/>
              <w:autoSpaceDN w:val="0"/>
              <w:adjustRightInd w:val="0"/>
              <w:spacing w:after="0"/>
              <w:jc w:val="left"/>
              <w:rPr>
                <w:rFonts w:ascii="Arial" w:eastAsiaTheme="minorHAnsi" w:hAnsi="Arial" w:cs="Arial"/>
                <w:lang w:val="es-EC"/>
              </w:rPr>
            </w:pPr>
            <w:r w:rsidRPr="003C18B5">
              <w:rPr>
                <w:rFonts w:ascii="Arial" w:eastAsiaTheme="minorHAnsi" w:hAnsi="Arial" w:cs="Arial"/>
                <w:lang w:val="es-EC"/>
              </w:rPr>
              <w:t>Calle José Arizaga con Jorge Drom, Edificio Zaldumbide, Nro 728, Sector Iñaquito. Quito,</w:t>
            </w:r>
          </w:p>
          <w:p w:rsidR="00B668D0" w:rsidRPr="003C18B5" w:rsidRDefault="00B461CC" w:rsidP="00B461CC">
            <w:pPr>
              <w:rPr>
                <w:rFonts w:ascii="Arial" w:hAnsi="Arial" w:cs="Arial"/>
                <w:b/>
              </w:rPr>
            </w:pPr>
            <w:r w:rsidRPr="003C18B5">
              <w:rPr>
                <w:rFonts w:ascii="Arial" w:eastAsiaTheme="minorHAnsi" w:hAnsi="Arial" w:cs="Arial"/>
                <w:lang w:val="es-EC"/>
              </w:rPr>
              <w:t>Pichincha. Ecuador.</w:t>
            </w:r>
          </w:p>
        </w:tc>
      </w:tr>
      <w:tr w:rsidR="00B668D0" w:rsidRPr="003C18B5" w:rsidTr="00AE76C9">
        <w:tc>
          <w:tcPr>
            <w:tcW w:w="2357" w:type="dxa"/>
          </w:tcPr>
          <w:p w:rsidR="00B668D0" w:rsidRPr="003C18B5" w:rsidRDefault="00B668D0" w:rsidP="00F635FC">
            <w:pPr>
              <w:rPr>
                <w:rFonts w:ascii="Arial" w:hAnsi="Arial" w:cs="Arial"/>
              </w:rPr>
            </w:pPr>
            <w:r w:rsidRPr="003C18B5">
              <w:rPr>
                <w:rFonts w:ascii="Arial" w:hAnsi="Arial" w:cs="Arial"/>
              </w:rPr>
              <w:t>Titulo Tercer Nivel</w:t>
            </w:r>
          </w:p>
        </w:tc>
        <w:tc>
          <w:tcPr>
            <w:tcW w:w="2352" w:type="dxa"/>
          </w:tcPr>
          <w:p w:rsidR="00B668D0" w:rsidRPr="003C18B5" w:rsidRDefault="000B6A83" w:rsidP="00F635FC">
            <w:pPr>
              <w:rPr>
                <w:rFonts w:ascii="Arial" w:hAnsi="Arial" w:cs="Arial"/>
              </w:rPr>
            </w:pPr>
            <w:r w:rsidRPr="003C18B5">
              <w:rPr>
                <w:rFonts w:ascii="Arial" w:hAnsi="Arial" w:cs="Arial"/>
              </w:rPr>
              <w:t>Docente de Química</w:t>
            </w:r>
          </w:p>
        </w:tc>
        <w:tc>
          <w:tcPr>
            <w:tcW w:w="2358" w:type="dxa"/>
          </w:tcPr>
          <w:p w:rsidR="00B668D0" w:rsidRPr="003C18B5" w:rsidRDefault="00B668D0" w:rsidP="00F635FC">
            <w:pPr>
              <w:rPr>
                <w:rFonts w:ascii="Arial" w:hAnsi="Arial" w:cs="Arial"/>
              </w:rPr>
            </w:pPr>
            <w:r w:rsidRPr="003C18B5">
              <w:rPr>
                <w:rFonts w:ascii="Arial" w:hAnsi="Arial" w:cs="Arial"/>
              </w:rPr>
              <w:t>Titulo Cuarto Nivel</w:t>
            </w:r>
          </w:p>
        </w:tc>
        <w:tc>
          <w:tcPr>
            <w:tcW w:w="2327" w:type="dxa"/>
          </w:tcPr>
          <w:p w:rsidR="00B668D0" w:rsidRPr="003C18B5" w:rsidRDefault="000B6A83" w:rsidP="00F635FC">
            <w:pPr>
              <w:rPr>
                <w:rFonts w:ascii="Arial" w:hAnsi="Arial" w:cs="Arial"/>
              </w:rPr>
            </w:pPr>
            <w:r w:rsidRPr="003C18B5">
              <w:rPr>
                <w:rFonts w:ascii="Arial" w:hAnsi="Arial" w:cs="Arial"/>
              </w:rPr>
              <w:t>Doctor de Química</w:t>
            </w:r>
          </w:p>
        </w:tc>
      </w:tr>
      <w:tr w:rsidR="00B958BA" w:rsidRPr="003C18B5" w:rsidTr="00AE76C9">
        <w:tc>
          <w:tcPr>
            <w:tcW w:w="2357" w:type="dxa"/>
          </w:tcPr>
          <w:p w:rsidR="00B958BA" w:rsidRPr="003C18B5" w:rsidRDefault="00B958BA" w:rsidP="00B958BA">
            <w:pPr>
              <w:rPr>
                <w:rFonts w:ascii="Arial" w:hAnsi="Arial" w:cs="Arial"/>
              </w:rPr>
            </w:pPr>
            <w:r w:rsidRPr="003C18B5">
              <w:rPr>
                <w:rFonts w:ascii="Arial" w:hAnsi="Arial" w:cs="Arial"/>
              </w:rPr>
              <w:t>Categoría Docente</w:t>
            </w:r>
          </w:p>
        </w:tc>
        <w:sdt>
          <w:sdtPr>
            <w:rPr>
              <w:rFonts w:ascii="Arial" w:hAnsi="Arial" w:cs="Arial"/>
            </w:rPr>
            <w:alias w:val="Seleccionar"/>
            <w:tag w:val="Seleccionar"/>
            <w:id w:val="2000689846"/>
            <w:placeholder>
              <w:docPart w:val="C72F3C1A9A2A48FE854B440A954447B7"/>
            </w:placeholder>
            <w:showingPlcHd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352" w:type="dxa"/>
              </w:tcPr>
              <w:p w:rsidR="00B958BA" w:rsidRPr="003C18B5" w:rsidRDefault="000B6A83" w:rsidP="00B958BA">
                <w:pPr>
                  <w:rPr>
                    <w:rFonts w:ascii="Arial" w:hAnsi="Arial" w:cs="Arial"/>
                  </w:rPr>
                </w:pPr>
                <w:r w:rsidRPr="003C18B5">
                  <w:rPr>
                    <w:rStyle w:val="Textodelmarcadordeposicin"/>
                    <w:rFonts w:ascii="Arial" w:hAnsi="Arial" w:cs="Arial"/>
                  </w:rPr>
                  <w:t>Elija un elemento.</w:t>
                </w:r>
              </w:p>
            </w:tc>
          </w:sdtContent>
        </w:sdt>
        <w:tc>
          <w:tcPr>
            <w:tcW w:w="2358" w:type="dxa"/>
          </w:tcPr>
          <w:p w:rsidR="00B958BA" w:rsidRPr="003C18B5" w:rsidRDefault="00B958BA" w:rsidP="00B958BA">
            <w:pPr>
              <w:jc w:val="left"/>
              <w:rPr>
                <w:rFonts w:ascii="Arial" w:hAnsi="Arial" w:cs="Arial"/>
              </w:rPr>
            </w:pPr>
            <w:r w:rsidRPr="003C18B5">
              <w:rPr>
                <w:rFonts w:ascii="Arial" w:hAnsi="Arial" w:cs="Arial"/>
              </w:rPr>
              <w:t>Tiempo de Dedicación</w:t>
            </w:r>
          </w:p>
        </w:tc>
        <w:tc>
          <w:tcPr>
            <w:tcW w:w="2327" w:type="dxa"/>
          </w:tcPr>
          <w:p w:rsidR="00B958BA" w:rsidRPr="003C18B5" w:rsidRDefault="00B958BA" w:rsidP="00B958BA">
            <w:pPr>
              <w:rPr>
                <w:rFonts w:ascii="Arial" w:hAnsi="Arial" w:cs="Arial"/>
              </w:rPr>
            </w:pPr>
            <w:r w:rsidRPr="003C18B5">
              <w:rPr>
                <w:rFonts w:ascii="Arial" w:hAnsi="Arial" w:cs="Arial"/>
              </w:rPr>
              <w:t>Tiempo Completo</w:t>
            </w:r>
          </w:p>
        </w:tc>
      </w:tr>
      <w:tr w:rsidR="00B958BA" w:rsidRPr="003C18B5" w:rsidTr="00AE76C9">
        <w:tc>
          <w:tcPr>
            <w:tcW w:w="2357" w:type="dxa"/>
          </w:tcPr>
          <w:p w:rsidR="00B958BA" w:rsidRPr="003C18B5" w:rsidRDefault="00B958BA" w:rsidP="00B958BA">
            <w:pPr>
              <w:rPr>
                <w:rFonts w:ascii="Arial" w:hAnsi="Arial" w:cs="Arial"/>
              </w:rPr>
            </w:pPr>
            <w:r w:rsidRPr="003C18B5">
              <w:rPr>
                <w:rFonts w:ascii="Arial" w:hAnsi="Arial" w:cs="Arial"/>
              </w:rPr>
              <w:t>Facultad</w:t>
            </w:r>
          </w:p>
        </w:tc>
        <w:tc>
          <w:tcPr>
            <w:tcW w:w="2352" w:type="dxa"/>
          </w:tcPr>
          <w:p w:rsidR="00B958BA" w:rsidRPr="003C18B5" w:rsidRDefault="000B6A83" w:rsidP="00B958BA">
            <w:pPr>
              <w:rPr>
                <w:rFonts w:ascii="Arial" w:hAnsi="Arial" w:cs="Arial"/>
              </w:rPr>
            </w:pPr>
            <w:r w:rsidRPr="003C18B5">
              <w:rPr>
                <w:rFonts w:ascii="Arial" w:hAnsi="Arial" w:cs="Arial"/>
              </w:rPr>
              <w:t>FIGEMPA</w:t>
            </w:r>
          </w:p>
        </w:tc>
        <w:tc>
          <w:tcPr>
            <w:tcW w:w="2358" w:type="dxa"/>
          </w:tcPr>
          <w:p w:rsidR="00B958BA" w:rsidRPr="003C18B5" w:rsidRDefault="00B958BA" w:rsidP="00B958BA">
            <w:pPr>
              <w:rPr>
                <w:rFonts w:ascii="Arial" w:hAnsi="Arial" w:cs="Arial"/>
              </w:rPr>
            </w:pPr>
            <w:r w:rsidRPr="003C18B5">
              <w:rPr>
                <w:rFonts w:ascii="Arial" w:hAnsi="Arial" w:cs="Arial"/>
              </w:rPr>
              <w:t>Carrera</w:t>
            </w:r>
          </w:p>
        </w:tc>
        <w:tc>
          <w:tcPr>
            <w:tcW w:w="2327" w:type="dxa"/>
          </w:tcPr>
          <w:p w:rsidR="00B958BA" w:rsidRPr="003C18B5" w:rsidRDefault="000B6A83" w:rsidP="00B958BA">
            <w:pPr>
              <w:rPr>
                <w:rFonts w:ascii="Arial" w:hAnsi="Arial" w:cs="Arial"/>
              </w:rPr>
            </w:pPr>
            <w:r w:rsidRPr="003C18B5">
              <w:rPr>
                <w:rFonts w:ascii="Arial" w:hAnsi="Arial" w:cs="Arial"/>
              </w:rPr>
              <w:t>Ingeniería Ambiental</w:t>
            </w:r>
          </w:p>
        </w:tc>
      </w:tr>
      <w:tr w:rsidR="00B958BA" w:rsidRPr="003C18B5" w:rsidTr="00AE76C9">
        <w:tc>
          <w:tcPr>
            <w:tcW w:w="2357" w:type="dxa"/>
          </w:tcPr>
          <w:p w:rsidR="00B958BA" w:rsidRPr="003C18B5" w:rsidRDefault="00B958BA" w:rsidP="00B958BA">
            <w:pPr>
              <w:rPr>
                <w:rFonts w:ascii="Arial" w:hAnsi="Arial" w:cs="Arial"/>
              </w:rPr>
            </w:pPr>
            <w:r w:rsidRPr="003C18B5">
              <w:rPr>
                <w:rFonts w:ascii="Arial" w:hAnsi="Arial" w:cs="Arial"/>
              </w:rPr>
              <w:t>Teléfono Fijo</w:t>
            </w:r>
          </w:p>
        </w:tc>
        <w:tc>
          <w:tcPr>
            <w:tcW w:w="2352" w:type="dxa"/>
          </w:tcPr>
          <w:p w:rsidR="00B958BA" w:rsidRPr="003C18B5" w:rsidRDefault="00C74559" w:rsidP="00B958BA">
            <w:pPr>
              <w:rPr>
                <w:rFonts w:ascii="Arial" w:hAnsi="Arial" w:cs="Arial"/>
              </w:rPr>
            </w:pPr>
            <w:r w:rsidRPr="003C18B5">
              <w:rPr>
                <w:rFonts w:ascii="Arial" w:hAnsi="Arial" w:cs="Arial"/>
              </w:rPr>
              <w:t>(02) 225 4186</w:t>
            </w:r>
          </w:p>
        </w:tc>
        <w:tc>
          <w:tcPr>
            <w:tcW w:w="2358" w:type="dxa"/>
          </w:tcPr>
          <w:p w:rsidR="00B958BA" w:rsidRPr="003C18B5" w:rsidRDefault="00B958BA" w:rsidP="00B958BA">
            <w:pPr>
              <w:rPr>
                <w:rFonts w:ascii="Arial" w:hAnsi="Arial" w:cs="Arial"/>
              </w:rPr>
            </w:pPr>
            <w:r w:rsidRPr="003C18B5">
              <w:rPr>
                <w:rFonts w:ascii="Arial" w:hAnsi="Arial" w:cs="Arial"/>
              </w:rPr>
              <w:t>Teléfono Móvil</w:t>
            </w:r>
          </w:p>
        </w:tc>
        <w:tc>
          <w:tcPr>
            <w:tcW w:w="2327" w:type="dxa"/>
          </w:tcPr>
          <w:p w:rsidR="00B958BA" w:rsidRPr="003C18B5" w:rsidRDefault="00C74559" w:rsidP="00B958BA">
            <w:pPr>
              <w:rPr>
                <w:rFonts w:ascii="Arial" w:hAnsi="Arial" w:cs="Arial"/>
              </w:rPr>
            </w:pPr>
            <w:r w:rsidRPr="003C18B5">
              <w:rPr>
                <w:rFonts w:ascii="Arial" w:hAnsi="Arial" w:cs="Arial"/>
              </w:rPr>
              <w:t>098 493 8723</w:t>
            </w:r>
          </w:p>
        </w:tc>
      </w:tr>
      <w:tr w:rsidR="00B958BA" w:rsidRPr="003C18B5" w:rsidTr="00AE76C9">
        <w:tc>
          <w:tcPr>
            <w:tcW w:w="2357" w:type="dxa"/>
          </w:tcPr>
          <w:p w:rsidR="00B958BA" w:rsidRPr="003C18B5" w:rsidRDefault="00B958BA" w:rsidP="00B958BA">
            <w:pPr>
              <w:rPr>
                <w:rFonts w:ascii="Arial" w:hAnsi="Arial" w:cs="Arial"/>
              </w:rPr>
            </w:pPr>
            <w:r w:rsidRPr="003C18B5">
              <w:rPr>
                <w:rFonts w:ascii="Arial" w:hAnsi="Arial" w:cs="Arial"/>
              </w:rPr>
              <w:t xml:space="preserve">Email Institucional </w:t>
            </w:r>
          </w:p>
        </w:tc>
        <w:tc>
          <w:tcPr>
            <w:tcW w:w="2352" w:type="dxa"/>
          </w:tcPr>
          <w:p w:rsidR="00B958BA" w:rsidRPr="003C18B5" w:rsidRDefault="00F32BEE" w:rsidP="00B958BA">
            <w:pPr>
              <w:rPr>
                <w:rFonts w:ascii="Arial" w:hAnsi="Arial" w:cs="Arial"/>
              </w:rPr>
            </w:pPr>
            <w:hyperlink r:id="rId9" w:history="1">
              <w:r w:rsidR="00C74559" w:rsidRPr="003C18B5">
                <w:rPr>
                  <w:rStyle w:val="Hipervnculo"/>
                  <w:rFonts w:ascii="Arial" w:hAnsi="Arial" w:cs="Arial"/>
                </w:rPr>
                <w:t>ydparra@uce.edu.ec</w:t>
              </w:r>
            </w:hyperlink>
            <w:r w:rsidR="00C74559" w:rsidRPr="003C18B5">
              <w:rPr>
                <w:rFonts w:ascii="Arial" w:hAnsi="Arial" w:cs="Arial"/>
              </w:rPr>
              <w:t xml:space="preserve"> </w:t>
            </w:r>
          </w:p>
        </w:tc>
        <w:tc>
          <w:tcPr>
            <w:tcW w:w="2358" w:type="dxa"/>
          </w:tcPr>
          <w:p w:rsidR="00B958BA" w:rsidRPr="003C18B5" w:rsidRDefault="00B958BA" w:rsidP="00B958BA">
            <w:pPr>
              <w:rPr>
                <w:rFonts w:ascii="Arial" w:hAnsi="Arial" w:cs="Arial"/>
              </w:rPr>
            </w:pPr>
            <w:r w:rsidRPr="003C18B5">
              <w:rPr>
                <w:rFonts w:ascii="Arial" w:hAnsi="Arial" w:cs="Arial"/>
              </w:rPr>
              <w:t xml:space="preserve">Email Personal </w:t>
            </w:r>
          </w:p>
        </w:tc>
        <w:tc>
          <w:tcPr>
            <w:tcW w:w="2327" w:type="dxa"/>
          </w:tcPr>
          <w:p w:rsidR="00B958BA" w:rsidRPr="003C18B5" w:rsidRDefault="00F32BEE" w:rsidP="00C74559">
            <w:pPr>
              <w:spacing w:line="480" w:lineRule="auto"/>
              <w:rPr>
                <w:rFonts w:ascii="Arial" w:hAnsi="Arial" w:cs="Arial"/>
              </w:rPr>
            </w:pPr>
            <w:hyperlink r:id="rId10" w:history="1">
              <w:r w:rsidR="00C74559" w:rsidRPr="003C18B5">
                <w:rPr>
                  <w:rStyle w:val="Hipervnculo"/>
                  <w:rFonts w:ascii="Arial" w:hAnsi="Arial" w:cs="Arial"/>
                </w:rPr>
                <w:t>yonathanparra15@gmail.com</w:t>
              </w:r>
            </w:hyperlink>
            <w:r w:rsidR="00C74559" w:rsidRPr="003C18B5">
              <w:rPr>
                <w:rFonts w:ascii="Arial" w:hAnsi="Arial" w:cs="Arial"/>
              </w:rPr>
              <w:t xml:space="preserve"> </w:t>
            </w:r>
          </w:p>
        </w:tc>
      </w:tr>
      <w:tr w:rsidR="00B958BA" w:rsidRPr="003C18B5" w:rsidTr="00AE76C9">
        <w:trPr>
          <w:trHeight w:val="139"/>
        </w:trPr>
        <w:tc>
          <w:tcPr>
            <w:tcW w:w="2357" w:type="dxa"/>
          </w:tcPr>
          <w:p w:rsidR="00B958BA" w:rsidRPr="003C18B5" w:rsidRDefault="00B958BA" w:rsidP="00B958BA">
            <w:pPr>
              <w:jc w:val="left"/>
              <w:rPr>
                <w:rFonts w:ascii="Arial" w:hAnsi="Arial" w:cs="Arial"/>
              </w:rPr>
            </w:pPr>
            <w:r w:rsidRPr="003C18B5">
              <w:rPr>
                <w:rFonts w:ascii="Arial" w:hAnsi="Arial" w:cs="Arial"/>
              </w:rPr>
              <w:t>Resumen de experiencia previa en investigación</w:t>
            </w:r>
          </w:p>
        </w:tc>
        <w:tc>
          <w:tcPr>
            <w:tcW w:w="7037" w:type="dxa"/>
            <w:gridSpan w:val="3"/>
          </w:tcPr>
          <w:p w:rsidR="00B958BA" w:rsidRPr="003C18B5" w:rsidRDefault="000B423D" w:rsidP="00B958BA">
            <w:pPr>
              <w:rPr>
                <w:rFonts w:ascii="Arial" w:hAnsi="Arial" w:cs="Arial"/>
              </w:rPr>
            </w:pPr>
            <w:r w:rsidRPr="003C18B5">
              <w:rPr>
                <w:rFonts w:ascii="Arial" w:hAnsi="Arial" w:cs="Arial"/>
              </w:rPr>
              <w:t>Más de 104 meses vinculado a proyectos de investigación</w:t>
            </w:r>
            <w:r w:rsidR="00997877" w:rsidRPr="003C18B5">
              <w:rPr>
                <w:rFonts w:ascii="Arial" w:hAnsi="Arial" w:cs="Arial"/>
              </w:rPr>
              <w:t xml:space="preserve"> (en condición de Co-director, investigador auxiliar y colaborador)</w:t>
            </w:r>
            <w:r w:rsidRPr="003C18B5">
              <w:rPr>
                <w:rFonts w:ascii="Arial" w:hAnsi="Arial" w:cs="Arial"/>
              </w:rPr>
              <w:t xml:space="preserve"> </w:t>
            </w:r>
            <w:r w:rsidR="00997877" w:rsidRPr="003C18B5">
              <w:rPr>
                <w:rFonts w:ascii="Arial" w:hAnsi="Arial" w:cs="Arial"/>
              </w:rPr>
              <w:t>aceptados</w:t>
            </w:r>
            <w:r w:rsidRPr="003C18B5">
              <w:rPr>
                <w:rFonts w:ascii="Arial" w:hAnsi="Arial" w:cs="Arial"/>
              </w:rPr>
              <w:t xml:space="preserve">, financiados y </w:t>
            </w:r>
            <w:r w:rsidR="00997877" w:rsidRPr="003C18B5">
              <w:rPr>
                <w:rFonts w:ascii="Arial" w:hAnsi="Arial" w:cs="Arial"/>
              </w:rPr>
              <w:t>con aprobación de informe final por parte</w:t>
            </w:r>
            <w:r w:rsidRPr="003C18B5">
              <w:rPr>
                <w:rFonts w:ascii="Arial" w:hAnsi="Arial" w:cs="Arial"/>
              </w:rPr>
              <w:t xml:space="preserve"> del Consejo de Desarrollo Científico y Humanístico de la Universidad del Zulia, Venezuela.</w:t>
            </w:r>
            <w:r w:rsidR="00F81225" w:rsidRPr="003C18B5">
              <w:rPr>
                <w:rFonts w:ascii="Arial" w:hAnsi="Arial" w:cs="Arial"/>
              </w:rPr>
              <w:t xml:space="preserve"> Autor y co-autor de más</w:t>
            </w:r>
            <w:r w:rsidR="00AD5ED2" w:rsidRPr="003C18B5">
              <w:rPr>
                <w:rFonts w:ascii="Arial" w:hAnsi="Arial" w:cs="Arial"/>
              </w:rPr>
              <w:t xml:space="preserve"> de 9 artículos arbitrados e indexados en el campo de Educación, Química y áreas afines</w:t>
            </w:r>
            <w:r w:rsidR="00F81225" w:rsidRPr="003C18B5">
              <w:rPr>
                <w:rFonts w:ascii="Arial" w:hAnsi="Arial" w:cs="Arial"/>
              </w:rPr>
              <w:t xml:space="preserve"> (</w:t>
            </w:r>
            <w:hyperlink r:id="rId11" w:history="1">
              <w:r w:rsidR="00F81225" w:rsidRPr="003C18B5">
                <w:rPr>
                  <w:rStyle w:val="Hipervnculo"/>
                  <w:rFonts w:ascii="Arial" w:hAnsi="Arial" w:cs="Arial"/>
                </w:rPr>
                <w:t>https://scholar.google.com/citations?user=UY3JzmoAAAAJ&amp;hl=es</w:t>
              </w:r>
            </w:hyperlink>
            <w:r w:rsidR="00F81225" w:rsidRPr="003C18B5">
              <w:rPr>
                <w:rFonts w:ascii="Arial" w:hAnsi="Arial" w:cs="Arial"/>
              </w:rPr>
              <w:t>)</w:t>
            </w:r>
            <w:r w:rsidR="00AD5ED2" w:rsidRPr="003C18B5">
              <w:rPr>
                <w:rFonts w:ascii="Arial" w:hAnsi="Arial" w:cs="Arial"/>
              </w:rPr>
              <w:t>.</w:t>
            </w:r>
          </w:p>
        </w:tc>
      </w:tr>
    </w:tbl>
    <w:p w:rsidR="00B668D0" w:rsidRPr="003C18B5" w:rsidRDefault="00B668D0" w:rsidP="00F635FC">
      <w:pPr>
        <w:rPr>
          <w:rFonts w:ascii="Arial" w:hAnsi="Arial" w:cs="Arial"/>
          <w:b/>
        </w:rPr>
      </w:pPr>
    </w:p>
    <w:tbl>
      <w:tblPr>
        <w:tblStyle w:val="Tablaconcuadrcula"/>
        <w:tblW w:w="0" w:type="auto"/>
        <w:tblLook w:val="04A0"/>
      </w:tblPr>
      <w:tblGrid>
        <w:gridCol w:w="2053"/>
        <w:gridCol w:w="2544"/>
        <w:gridCol w:w="2003"/>
        <w:gridCol w:w="3020"/>
      </w:tblGrid>
      <w:tr w:rsidR="00165AC3" w:rsidRPr="003C18B5" w:rsidTr="00AE76C9">
        <w:tc>
          <w:tcPr>
            <w:tcW w:w="9394" w:type="dxa"/>
            <w:gridSpan w:val="4"/>
            <w:shd w:val="clear" w:color="auto" w:fill="9CC2E5" w:themeFill="accent1" w:themeFillTint="99"/>
          </w:tcPr>
          <w:p w:rsidR="009A3E62" w:rsidRPr="003C18B5" w:rsidRDefault="00165AC3" w:rsidP="009A3E62">
            <w:pPr>
              <w:pStyle w:val="Sinespaciado"/>
              <w:rPr>
                <w:rFonts w:ascii="Arial" w:hAnsi="Arial" w:cs="Arial"/>
                <w:b/>
              </w:rPr>
            </w:pPr>
            <w:r w:rsidRPr="003C18B5">
              <w:rPr>
                <w:rFonts w:ascii="Arial" w:hAnsi="Arial" w:cs="Arial"/>
                <w:b/>
              </w:rPr>
              <w:t>INVESTIGADOR –</w:t>
            </w:r>
            <w:r w:rsidR="00877619" w:rsidRPr="003C18B5">
              <w:rPr>
                <w:rFonts w:ascii="Arial" w:hAnsi="Arial" w:cs="Arial"/>
                <w:b/>
              </w:rPr>
              <w:t xml:space="preserve"> ADJUNTO</w:t>
            </w:r>
            <w:r w:rsidRPr="003C18B5">
              <w:rPr>
                <w:rFonts w:ascii="Arial" w:hAnsi="Arial" w:cs="Arial"/>
                <w:b/>
              </w:rPr>
              <w:t xml:space="preserve"> (DOCENTE TITULAR)</w:t>
            </w:r>
          </w:p>
          <w:p w:rsidR="00877619" w:rsidRPr="003C18B5" w:rsidRDefault="00877619" w:rsidP="009A3E62">
            <w:pPr>
              <w:pStyle w:val="Sinespaciado"/>
              <w:rPr>
                <w:rFonts w:ascii="Arial" w:hAnsi="Arial" w:cs="Arial"/>
                <w:i/>
              </w:rPr>
            </w:pPr>
            <w:r w:rsidRPr="003C18B5">
              <w:rPr>
                <w:rFonts w:ascii="Arial" w:hAnsi="Arial" w:cs="Arial"/>
                <w:i/>
              </w:rPr>
              <w:t xml:space="preserve">Máximo dos docentes adjuntos con distinto tiempo de dedicación </w:t>
            </w:r>
          </w:p>
        </w:tc>
      </w:tr>
      <w:tr w:rsidR="00165AC3" w:rsidRPr="003C18B5" w:rsidTr="00AE76C9">
        <w:tc>
          <w:tcPr>
            <w:tcW w:w="2352" w:type="dxa"/>
          </w:tcPr>
          <w:p w:rsidR="00165AC3" w:rsidRPr="003C18B5" w:rsidRDefault="00165AC3" w:rsidP="005742D4">
            <w:pPr>
              <w:rPr>
                <w:rFonts w:ascii="Arial" w:hAnsi="Arial" w:cs="Arial"/>
              </w:rPr>
            </w:pPr>
            <w:r w:rsidRPr="003C18B5">
              <w:rPr>
                <w:rFonts w:ascii="Arial" w:hAnsi="Arial" w:cs="Arial"/>
              </w:rPr>
              <w:t>Apellidos</w:t>
            </w:r>
          </w:p>
        </w:tc>
        <w:tc>
          <w:tcPr>
            <w:tcW w:w="2345" w:type="dxa"/>
          </w:tcPr>
          <w:p w:rsidR="00165AC3" w:rsidRPr="003C18B5" w:rsidRDefault="00EA1172" w:rsidP="005742D4">
            <w:pPr>
              <w:rPr>
                <w:rFonts w:ascii="Arial" w:hAnsi="Arial" w:cs="Arial"/>
              </w:rPr>
            </w:pPr>
            <w:r w:rsidRPr="003C18B5">
              <w:rPr>
                <w:rFonts w:ascii="Arial" w:hAnsi="Arial" w:cs="Arial"/>
              </w:rPr>
              <w:t>Andueza Leal</w:t>
            </w:r>
          </w:p>
        </w:tc>
        <w:tc>
          <w:tcPr>
            <w:tcW w:w="2352" w:type="dxa"/>
          </w:tcPr>
          <w:p w:rsidR="00165AC3" w:rsidRPr="003C18B5" w:rsidRDefault="00165AC3" w:rsidP="005742D4">
            <w:pPr>
              <w:rPr>
                <w:rFonts w:ascii="Arial" w:hAnsi="Arial" w:cs="Arial"/>
              </w:rPr>
            </w:pPr>
            <w:r w:rsidRPr="003C18B5">
              <w:rPr>
                <w:rFonts w:ascii="Arial" w:hAnsi="Arial" w:cs="Arial"/>
              </w:rPr>
              <w:t>Nombres</w:t>
            </w:r>
          </w:p>
        </w:tc>
        <w:tc>
          <w:tcPr>
            <w:tcW w:w="2345" w:type="dxa"/>
          </w:tcPr>
          <w:p w:rsidR="00165AC3" w:rsidRPr="003C18B5" w:rsidRDefault="00EA1172" w:rsidP="005742D4">
            <w:pPr>
              <w:rPr>
                <w:rFonts w:ascii="Arial" w:hAnsi="Arial" w:cs="Arial"/>
              </w:rPr>
            </w:pPr>
            <w:r w:rsidRPr="003C18B5">
              <w:rPr>
                <w:rFonts w:ascii="Arial" w:hAnsi="Arial" w:cs="Arial"/>
              </w:rPr>
              <w:t>Félix Daniel</w:t>
            </w:r>
          </w:p>
        </w:tc>
      </w:tr>
      <w:tr w:rsidR="00165AC3" w:rsidRPr="003C18B5" w:rsidTr="00AE76C9">
        <w:tc>
          <w:tcPr>
            <w:tcW w:w="2352" w:type="dxa"/>
          </w:tcPr>
          <w:p w:rsidR="00165AC3" w:rsidRPr="003C18B5" w:rsidRDefault="001376B2" w:rsidP="005742D4">
            <w:pPr>
              <w:rPr>
                <w:rFonts w:ascii="Arial" w:hAnsi="Arial" w:cs="Arial"/>
              </w:rPr>
            </w:pPr>
            <w:r w:rsidRPr="003C18B5">
              <w:rPr>
                <w:rFonts w:ascii="Arial" w:hAnsi="Arial" w:cs="Arial"/>
              </w:rPr>
              <w:t>Nú</w:t>
            </w:r>
            <w:r w:rsidR="00165AC3" w:rsidRPr="003C18B5">
              <w:rPr>
                <w:rFonts w:ascii="Arial" w:hAnsi="Arial" w:cs="Arial"/>
              </w:rPr>
              <w:t>mero de cedula de identidad</w:t>
            </w:r>
          </w:p>
        </w:tc>
        <w:tc>
          <w:tcPr>
            <w:tcW w:w="2345" w:type="dxa"/>
          </w:tcPr>
          <w:p w:rsidR="00165AC3" w:rsidRPr="003C18B5" w:rsidRDefault="006D7E53" w:rsidP="005742D4">
            <w:pPr>
              <w:rPr>
                <w:rFonts w:ascii="Arial" w:hAnsi="Arial" w:cs="Arial"/>
              </w:rPr>
            </w:pPr>
            <w:r w:rsidRPr="003C18B5">
              <w:rPr>
                <w:rFonts w:ascii="Arial" w:hAnsi="Arial" w:cs="Arial"/>
                <w:color w:val="000000"/>
                <w:shd w:val="clear" w:color="auto" w:fill="FFFFFF"/>
              </w:rPr>
              <w:t xml:space="preserve">1757134646 </w:t>
            </w:r>
          </w:p>
        </w:tc>
        <w:tc>
          <w:tcPr>
            <w:tcW w:w="2352" w:type="dxa"/>
          </w:tcPr>
          <w:p w:rsidR="00165AC3" w:rsidRPr="003C18B5" w:rsidRDefault="00165AC3" w:rsidP="005742D4">
            <w:pPr>
              <w:rPr>
                <w:rFonts w:ascii="Arial" w:hAnsi="Arial" w:cs="Arial"/>
              </w:rPr>
            </w:pPr>
            <w:r w:rsidRPr="003C18B5">
              <w:rPr>
                <w:rFonts w:ascii="Arial" w:hAnsi="Arial" w:cs="Arial"/>
              </w:rPr>
              <w:t>Dirección Domiciliaria</w:t>
            </w:r>
          </w:p>
        </w:tc>
        <w:tc>
          <w:tcPr>
            <w:tcW w:w="2345" w:type="dxa"/>
          </w:tcPr>
          <w:p w:rsidR="00165AC3" w:rsidRPr="003C18B5" w:rsidRDefault="0007453C" w:rsidP="005742D4">
            <w:pPr>
              <w:rPr>
                <w:rFonts w:ascii="Arial" w:hAnsi="Arial" w:cs="Arial"/>
              </w:rPr>
            </w:pPr>
            <w:r w:rsidRPr="003C18B5">
              <w:rPr>
                <w:rFonts w:ascii="Arial" w:hAnsi="Arial" w:cs="Arial"/>
              </w:rPr>
              <w:t>Avenida Francisco de Orellana y 9 de octubre N4-27</w:t>
            </w:r>
          </w:p>
        </w:tc>
      </w:tr>
      <w:tr w:rsidR="00165AC3" w:rsidRPr="003C18B5" w:rsidTr="00AE76C9">
        <w:tc>
          <w:tcPr>
            <w:tcW w:w="2352" w:type="dxa"/>
          </w:tcPr>
          <w:p w:rsidR="00165AC3" w:rsidRPr="003C18B5" w:rsidRDefault="00165AC3" w:rsidP="005742D4">
            <w:pPr>
              <w:rPr>
                <w:rFonts w:ascii="Arial" w:hAnsi="Arial" w:cs="Arial"/>
              </w:rPr>
            </w:pPr>
            <w:r w:rsidRPr="003C18B5">
              <w:rPr>
                <w:rFonts w:ascii="Arial" w:hAnsi="Arial" w:cs="Arial"/>
              </w:rPr>
              <w:t>Titulo Tercer Nivel</w:t>
            </w:r>
          </w:p>
        </w:tc>
        <w:tc>
          <w:tcPr>
            <w:tcW w:w="2345" w:type="dxa"/>
          </w:tcPr>
          <w:p w:rsidR="00165AC3" w:rsidRPr="003C18B5" w:rsidRDefault="00DD61D3" w:rsidP="005742D4">
            <w:pPr>
              <w:rPr>
                <w:rFonts w:ascii="Arial" w:hAnsi="Arial" w:cs="Arial"/>
              </w:rPr>
            </w:pPr>
            <w:r w:rsidRPr="003C18B5">
              <w:rPr>
                <w:rFonts w:ascii="Arial" w:hAnsi="Arial" w:cs="Arial"/>
              </w:rPr>
              <w:t>Licenciado en Biología</w:t>
            </w:r>
          </w:p>
        </w:tc>
        <w:tc>
          <w:tcPr>
            <w:tcW w:w="2352" w:type="dxa"/>
          </w:tcPr>
          <w:p w:rsidR="00165AC3" w:rsidRPr="003C18B5" w:rsidRDefault="00165AC3" w:rsidP="005742D4">
            <w:pPr>
              <w:rPr>
                <w:rFonts w:ascii="Arial" w:hAnsi="Arial" w:cs="Arial"/>
              </w:rPr>
            </w:pPr>
            <w:r w:rsidRPr="003C18B5">
              <w:rPr>
                <w:rFonts w:ascii="Arial" w:hAnsi="Arial" w:cs="Arial"/>
              </w:rPr>
              <w:t>Titulo Cuarto Nivel</w:t>
            </w:r>
          </w:p>
        </w:tc>
        <w:tc>
          <w:tcPr>
            <w:tcW w:w="2345" w:type="dxa"/>
          </w:tcPr>
          <w:p w:rsidR="00165AC3" w:rsidRPr="003C18B5" w:rsidRDefault="00DD61D3" w:rsidP="005742D4">
            <w:pPr>
              <w:rPr>
                <w:rFonts w:ascii="Arial" w:hAnsi="Arial" w:cs="Arial"/>
              </w:rPr>
            </w:pPr>
            <w:r w:rsidRPr="003C18B5">
              <w:rPr>
                <w:rFonts w:ascii="Arial" w:hAnsi="Arial" w:cs="Arial"/>
              </w:rPr>
              <w:t xml:space="preserve">Doctor en Microbiología y Parasitología </w:t>
            </w:r>
          </w:p>
        </w:tc>
      </w:tr>
      <w:tr w:rsidR="00165AC3" w:rsidRPr="003C18B5" w:rsidTr="00AE76C9">
        <w:tc>
          <w:tcPr>
            <w:tcW w:w="2352" w:type="dxa"/>
          </w:tcPr>
          <w:p w:rsidR="00165AC3" w:rsidRPr="003C18B5" w:rsidRDefault="00165AC3" w:rsidP="005742D4">
            <w:pPr>
              <w:rPr>
                <w:rFonts w:ascii="Arial" w:hAnsi="Arial" w:cs="Arial"/>
              </w:rPr>
            </w:pPr>
            <w:r w:rsidRPr="003C18B5">
              <w:rPr>
                <w:rFonts w:ascii="Arial" w:hAnsi="Arial" w:cs="Arial"/>
              </w:rPr>
              <w:t>Categoría Docente</w:t>
            </w:r>
          </w:p>
        </w:tc>
        <w:sdt>
          <w:sdtPr>
            <w:rPr>
              <w:rFonts w:ascii="Arial" w:hAnsi="Arial" w:cs="Arial"/>
            </w:rPr>
            <w:alias w:val="Seleccionar"/>
            <w:tag w:val="Seleccionar"/>
            <w:id w:val="1809120963"/>
            <w:placeholder>
              <w:docPart w:val="1B08D26E249F41C1A5B2D07345B3BE38"/>
            </w:placeholder>
            <w:showingPlcHd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345" w:type="dxa"/>
              </w:tcPr>
              <w:p w:rsidR="00165AC3" w:rsidRPr="003C18B5" w:rsidRDefault="00AB5413" w:rsidP="005742D4">
                <w:pPr>
                  <w:rPr>
                    <w:rFonts w:ascii="Arial" w:hAnsi="Arial" w:cs="Arial"/>
                  </w:rPr>
                </w:pPr>
                <w:r w:rsidRPr="003C18B5">
                  <w:rPr>
                    <w:rStyle w:val="Textodelmarcadordeposicin"/>
                    <w:rFonts w:ascii="Arial" w:hAnsi="Arial" w:cs="Arial"/>
                  </w:rPr>
                  <w:t>Elija un elemento.</w:t>
                </w:r>
              </w:p>
            </w:tc>
          </w:sdtContent>
        </w:sdt>
        <w:tc>
          <w:tcPr>
            <w:tcW w:w="2352" w:type="dxa"/>
          </w:tcPr>
          <w:p w:rsidR="00165AC3" w:rsidRPr="003C18B5" w:rsidRDefault="00181D9B" w:rsidP="00B958BA">
            <w:pPr>
              <w:jc w:val="left"/>
              <w:rPr>
                <w:rFonts w:ascii="Arial" w:hAnsi="Arial" w:cs="Arial"/>
              </w:rPr>
            </w:pPr>
            <w:r w:rsidRPr="003C18B5">
              <w:rPr>
                <w:rFonts w:ascii="Arial" w:hAnsi="Arial" w:cs="Arial"/>
              </w:rPr>
              <w:t>Tiempo de Dedicación</w:t>
            </w:r>
          </w:p>
        </w:tc>
        <w:sdt>
          <w:sdtPr>
            <w:rPr>
              <w:rFonts w:ascii="Arial" w:hAnsi="Arial" w:cs="Arial"/>
            </w:rPr>
            <w:alias w:val="Seleccione"/>
            <w:tag w:val="Seleccione"/>
            <w:id w:val="-2086444526"/>
            <w:placeholder>
              <w:docPart w:val="DefaultPlaceholder_1081868575"/>
            </w:placeholder>
            <w:dropDownList>
              <w:listItem w:displayText="Parcial" w:value="Parcial"/>
              <w:listItem w:displayText="Medio Tiempo" w:value="Medio Tiempo"/>
              <w:listItem w:displayText="Tiempo Completo" w:value="Tiempo Completo"/>
            </w:dropDownList>
          </w:sdtPr>
          <w:sdtContent>
            <w:tc>
              <w:tcPr>
                <w:tcW w:w="2345" w:type="dxa"/>
              </w:tcPr>
              <w:p w:rsidR="00165AC3" w:rsidRPr="000F6CBF" w:rsidRDefault="00AB5413" w:rsidP="005742D4">
                <w:pPr>
                  <w:rPr>
                    <w:rFonts w:ascii="Arial" w:hAnsi="Arial" w:cs="Arial"/>
                  </w:rPr>
                </w:pPr>
                <w:r w:rsidRPr="000F6CBF">
                  <w:rPr>
                    <w:rFonts w:ascii="Arial" w:hAnsi="Arial" w:cs="Arial"/>
                  </w:rPr>
                  <w:t>Tiempo Completo</w:t>
                </w:r>
              </w:p>
            </w:tc>
          </w:sdtContent>
        </w:sdt>
      </w:tr>
      <w:tr w:rsidR="00165AC3" w:rsidRPr="003C18B5" w:rsidTr="00AE76C9">
        <w:tc>
          <w:tcPr>
            <w:tcW w:w="2352" w:type="dxa"/>
          </w:tcPr>
          <w:p w:rsidR="00165AC3" w:rsidRPr="003C18B5" w:rsidRDefault="00165AC3" w:rsidP="005742D4">
            <w:pPr>
              <w:rPr>
                <w:rFonts w:ascii="Arial" w:hAnsi="Arial" w:cs="Arial"/>
              </w:rPr>
            </w:pPr>
            <w:r w:rsidRPr="003C18B5">
              <w:rPr>
                <w:rFonts w:ascii="Arial" w:hAnsi="Arial" w:cs="Arial"/>
              </w:rPr>
              <w:t>Facultad</w:t>
            </w:r>
          </w:p>
        </w:tc>
        <w:tc>
          <w:tcPr>
            <w:tcW w:w="2345" w:type="dxa"/>
          </w:tcPr>
          <w:p w:rsidR="00165AC3" w:rsidRPr="003C18B5" w:rsidRDefault="00AB5413" w:rsidP="005742D4">
            <w:pPr>
              <w:rPr>
                <w:rFonts w:ascii="Arial" w:hAnsi="Arial" w:cs="Arial"/>
              </w:rPr>
            </w:pPr>
            <w:r w:rsidRPr="003C18B5">
              <w:rPr>
                <w:rFonts w:ascii="Arial" w:hAnsi="Arial" w:cs="Arial"/>
              </w:rPr>
              <w:t>FIGEMPA</w:t>
            </w:r>
          </w:p>
        </w:tc>
        <w:tc>
          <w:tcPr>
            <w:tcW w:w="2352" w:type="dxa"/>
          </w:tcPr>
          <w:p w:rsidR="00165AC3" w:rsidRPr="003C18B5" w:rsidRDefault="00165AC3" w:rsidP="005742D4">
            <w:pPr>
              <w:rPr>
                <w:rFonts w:ascii="Arial" w:hAnsi="Arial" w:cs="Arial"/>
              </w:rPr>
            </w:pPr>
            <w:r w:rsidRPr="003C18B5">
              <w:rPr>
                <w:rFonts w:ascii="Arial" w:hAnsi="Arial" w:cs="Arial"/>
              </w:rPr>
              <w:t>Carrera</w:t>
            </w:r>
          </w:p>
        </w:tc>
        <w:tc>
          <w:tcPr>
            <w:tcW w:w="2345" w:type="dxa"/>
          </w:tcPr>
          <w:p w:rsidR="00165AC3" w:rsidRPr="003C18B5" w:rsidRDefault="00AB5413" w:rsidP="005742D4">
            <w:pPr>
              <w:rPr>
                <w:rFonts w:ascii="Arial" w:hAnsi="Arial" w:cs="Arial"/>
              </w:rPr>
            </w:pPr>
            <w:r w:rsidRPr="003C18B5">
              <w:rPr>
                <w:rFonts w:ascii="Arial" w:hAnsi="Arial" w:cs="Arial"/>
              </w:rPr>
              <w:t>Ingeniería Ambiental</w:t>
            </w:r>
          </w:p>
        </w:tc>
      </w:tr>
      <w:tr w:rsidR="00165AC3" w:rsidRPr="003C18B5" w:rsidTr="00AE76C9">
        <w:tc>
          <w:tcPr>
            <w:tcW w:w="2352" w:type="dxa"/>
          </w:tcPr>
          <w:p w:rsidR="00165AC3" w:rsidRPr="003C18B5" w:rsidRDefault="00165AC3" w:rsidP="005742D4">
            <w:pPr>
              <w:rPr>
                <w:rFonts w:ascii="Arial" w:hAnsi="Arial" w:cs="Arial"/>
              </w:rPr>
            </w:pPr>
            <w:r w:rsidRPr="003C18B5">
              <w:rPr>
                <w:rFonts w:ascii="Arial" w:hAnsi="Arial" w:cs="Arial"/>
              </w:rPr>
              <w:t>Teléfono Fijo</w:t>
            </w:r>
          </w:p>
        </w:tc>
        <w:tc>
          <w:tcPr>
            <w:tcW w:w="2345" w:type="dxa"/>
          </w:tcPr>
          <w:p w:rsidR="00165AC3" w:rsidRPr="003C18B5" w:rsidRDefault="00165AC3" w:rsidP="005742D4">
            <w:pPr>
              <w:rPr>
                <w:rFonts w:ascii="Arial" w:hAnsi="Arial" w:cs="Arial"/>
              </w:rPr>
            </w:pPr>
          </w:p>
        </w:tc>
        <w:tc>
          <w:tcPr>
            <w:tcW w:w="2352" w:type="dxa"/>
          </w:tcPr>
          <w:p w:rsidR="00165AC3" w:rsidRPr="003C18B5" w:rsidRDefault="00165AC3" w:rsidP="005742D4">
            <w:pPr>
              <w:rPr>
                <w:rFonts w:ascii="Arial" w:hAnsi="Arial" w:cs="Arial"/>
              </w:rPr>
            </w:pPr>
            <w:r w:rsidRPr="003C18B5">
              <w:rPr>
                <w:rFonts w:ascii="Arial" w:hAnsi="Arial" w:cs="Arial"/>
              </w:rPr>
              <w:t>Teléfono Móvil</w:t>
            </w:r>
          </w:p>
        </w:tc>
        <w:tc>
          <w:tcPr>
            <w:tcW w:w="2345" w:type="dxa"/>
          </w:tcPr>
          <w:p w:rsidR="00165AC3" w:rsidRPr="003C18B5" w:rsidRDefault="00DA4730" w:rsidP="005742D4">
            <w:pPr>
              <w:rPr>
                <w:rFonts w:ascii="Arial" w:hAnsi="Arial" w:cs="Arial"/>
              </w:rPr>
            </w:pPr>
            <w:r w:rsidRPr="003C18B5">
              <w:rPr>
                <w:rFonts w:ascii="Arial" w:hAnsi="Arial" w:cs="Arial"/>
              </w:rPr>
              <w:t>0999264713</w:t>
            </w:r>
          </w:p>
        </w:tc>
      </w:tr>
      <w:tr w:rsidR="00165AC3" w:rsidRPr="003C18B5" w:rsidTr="00AE76C9">
        <w:tc>
          <w:tcPr>
            <w:tcW w:w="2352" w:type="dxa"/>
          </w:tcPr>
          <w:p w:rsidR="00165AC3" w:rsidRPr="003C18B5" w:rsidRDefault="00165AC3" w:rsidP="005742D4">
            <w:pPr>
              <w:rPr>
                <w:rFonts w:ascii="Arial" w:hAnsi="Arial" w:cs="Arial"/>
              </w:rPr>
            </w:pPr>
            <w:r w:rsidRPr="003C18B5">
              <w:rPr>
                <w:rFonts w:ascii="Arial" w:hAnsi="Arial" w:cs="Arial"/>
              </w:rPr>
              <w:lastRenderedPageBreak/>
              <w:t xml:space="preserve">Email Institucional </w:t>
            </w:r>
          </w:p>
        </w:tc>
        <w:tc>
          <w:tcPr>
            <w:tcW w:w="2345" w:type="dxa"/>
          </w:tcPr>
          <w:p w:rsidR="00165AC3" w:rsidRPr="003C18B5" w:rsidRDefault="00F32BEE" w:rsidP="005742D4">
            <w:pPr>
              <w:rPr>
                <w:rFonts w:ascii="Arial" w:hAnsi="Arial" w:cs="Arial"/>
              </w:rPr>
            </w:pPr>
            <w:hyperlink r:id="rId12" w:history="1">
              <w:r w:rsidR="00EA1172" w:rsidRPr="003C18B5">
                <w:rPr>
                  <w:rStyle w:val="Hipervnculo"/>
                  <w:rFonts w:ascii="Arial" w:hAnsi="Arial" w:cs="Arial"/>
                </w:rPr>
                <w:t>fdandueza@uce.edu.ec</w:t>
              </w:r>
            </w:hyperlink>
            <w:r w:rsidR="00EA1172" w:rsidRPr="003C18B5">
              <w:rPr>
                <w:rFonts w:ascii="Arial" w:hAnsi="Arial" w:cs="Arial"/>
              </w:rPr>
              <w:t xml:space="preserve"> </w:t>
            </w:r>
          </w:p>
        </w:tc>
        <w:tc>
          <w:tcPr>
            <w:tcW w:w="2352" w:type="dxa"/>
          </w:tcPr>
          <w:p w:rsidR="00165AC3" w:rsidRPr="003C18B5" w:rsidRDefault="00165AC3" w:rsidP="005742D4">
            <w:pPr>
              <w:rPr>
                <w:rFonts w:ascii="Arial" w:hAnsi="Arial" w:cs="Arial"/>
              </w:rPr>
            </w:pPr>
            <w:r w:rsidRPr="003C18B5">
              <w:rPr>
                <w:rFonts w:ascii="Arial" w:hAnsi="Arial" w:cs="Arial"/>
              </w:rPr>
              <w:t xml:space="preserve">Email Personal </w:t>
            </w:r>
          </w:p>
        </w:tc>
        <w:tc>
          <w:tcPr>
            <w:tcW w:w="2345" w:type="dxa"/>
          </w:tcPr>
          <w:p w:rsidR="00165AC3" w:rsidRPr="003C18B5" w:rsidRDefault="00F32BEE" w:rsidP="005742D4">
            <w:pPr>
              <w:rPr>
                <w:rFonts w:ascii="Arial" w:hAnsi="Arial" w:cs="Arial"/>
              </w:rPr>
            </w:pPr>
            <w:hyperlink r:id="rId13" w:history="1">
              <w:r w:rsidR="00DE5DF5" w:rsidRPr="003C18B5">
                <w:rPr>
                  <w:rStyle w:val="Hipervnculo"/>
                  <w:rFonts w:ascii="Arial" w:hAnsi="Arial" w:cs="Arial"/>
                </w:rPr>
                <w:t>anduezalealfelix@gmail.com</w:t>
              </w:r>
            </w:hyperlink>
            <w:r w:rsidR="00DE5DF5" w:rsidRPr="003C18B5">
              <w:rPr>
                <w:rFonts w:ascii="Arial" w:hAnsi="Arial" w:cs="Arial"/>
              </w:rPr>
              <w:t xml:space="preserve"> </w:t>
            </w:r>
          </w:p>
        </w:tc>
      </w:tr>
      <w:tr w:rsidR="00AE76C9" w:rsidRPr="003C18B5" w:rsidTr="00E03BDD">
        <w:trPr>
          <w:trHeight w:val="139"/>
        </w:trPr>
        <w:tc>
          <w:tcPr>
            <w:tcW w:w="2357" w:type="dxa"/>
          </w:tcPr>
          <w:p w:rsidR="00AE76C9" w:rsidRPr="003C18B5" w:rsidRDefault="00AE76C9" w:rsidP="00E03BDD">
            <w:pPr>
              <w:jc w:val="left"/>
              <w:rPr>
                <w:rFonts w:ascii="Arial" w:hAnsi="Arial" w:cs="Arial"/>
              </w:rPr>
            </w:pPr>
            <w:r w:rsidRPr="003C18B5">
              <w:rPr>
                <w:rFonts w:ascii="Arial" w:hAnsi="Arial" w:cs="Arial"/>
              </w:rPr>
              <w:t>Resumen de experiencia previa en investigación</w:t>
            </w:r>
          </w:p>
        </w:tc>
        <w:tc>
          <w:tcPr>
            <w:tcW w:w="7037" w:type="dxa"/>
            <w:gridSpan w:val="3"/>
          </w:tcPr>
          <w:p w:rsidR="00AE76C9" w:rsidRPr="003C18B5" w:rsidRDefault="00713B22" w:rsidP="00755B7E">
            <w:pPr>
              <w:rPr>
                <w:rFonts w:ascii="Arial" w:hAnsi="Arial" w:cs="Arial"/>
              </w:rPr>
            </w:pPr>
            <w:r w:rsidRPr="003C18B5">
              <w:rPr>
                <w:rFonts w:ascii="Arial" w:hAnsi="Arial" w:cs="Arial"/>
              </w:rPr>
              <w:t xml:space="preserve">Autor y co-autor de más de 19 artículos arbitrados e indexados en el campo de </w:t>
            </w:r>
            <w:r w:rsidR="00755B7E" w:rsidRPr="003C18B5">
              <w:rPr>
                <w:rFonts w:ascii="Arial" w:hAnsi="Arial" w:cs="Arial"/>
              </w:rPr>
              <w:t>la Biología</w:t>
            </w:r>
            <w:r w:rsidRPr="003C18B5">
              <w:rPr>
                <w:rFonts w:ascii="Arial" w:hAnsi="Arial" w:cs="Arial"/>
              </w:rPr>
              <w:t xml:space="preserve"> y áreas afines</w:t>
            </w:r>
            <w:r w:rsidR="00DC440A" w:rsidRPr="003C18B5">
              <w:rPr>
                <w:rFonts w:ascii="Arial" w:hAnsi="Arial" w:cs="Arial"/>
              </w:rPr>
              <w:t xml:space="preserve"> (</w:t>
            </w:r>
            <w:hyperlink r:id="rId14" w:history="1">
              <w:r w:rsidR="00DC440A" w:rsidRPr="003C18B5">
                <w:rPr>
                  <w:rStyle w:val="Hipervnculo"/>
                  <w:rFonts w:ascii="Arial" w:hAnsi="Arial" w:cs="Arial"/>
                </w:rPr>
                <w:t>https://scholar.google.com/citations?user=Be-g17IAAAAJ&amp;hl=en</w:t>
              </w:r>
            </w:hyperlink>
            <w:r w:rsidR="00DC440A" w:rsidRPr="003C18B5">
              <w:rPr>
                <w:rFonts w:ascii="Arial" w:hAnsi="Arial" w:cs="Arial"/>
              </w:rPr>
              <w:t>)</w:t>
            </w:r>
          </w:p>
        </w:tc>
      </w:tr>
    </w:tbl>
    <w:p w:rsidR="00AE76C9" w:rsidRPr="003C18B5" w:rsidRDefault="00AE76C9" w:rsidP="00F635FC">
      <w:pPr>
        <w:rPr>
          <w:rFonts w:ascii="Arial" w:hAnsi="Arial" w:cs="Arial"/>
          <w:b/>
        </w:rPr>
      </w:pPr>
    </w:p>
    <w:p w:rsidR="00AE76C9" w:rsidRPr="003C18B5" w:rsidRDefault="00AE76C9" w:rsidP="00F635FC">
      <w:pPr>
        <w:rPr>
          <w:rFonts w:ascii="Arial" w:hAnsi="Arial" w:cs="Arial"/>
          <w:b/>
        </w:rPr>
      </w:pPr>
    </w:p>
    <w:tbl>
      <w:tblPr>
        <w:tblStyle w:val="Tablaconcuadrcula"/>
        <w:tblW w:w="0" w:type="auto"/>
        <w:tblLook w:val="04A0"/>
      </w:tblPr>
      <w:tblGrid>
        <w:gridCol w:w="2166"/>
        <w:gridCol w:w="2334"/>
        <w:gridCol w:w="2146"/>
        <w:gridCol w:w="2974"/>
      </w:tblGrid>
      <w:tr w:rsidR="00614222" w:rsidRPr="003C18B5" w:rsidTr="00AE76C9">
        <w:tc>
          <w:tcPr>
            <w:tcW w:w="9394" w:type="dxa"/>
            <w:gridSpan w:val="4"/>
            <w:shd w:val="clear" w:color="auto" w:fill="9CC2E5" w:themeFill="accent1" w:themeFillTint="99"/>
          </w:tcPr>
          <w:p w:rsidR="00614222" w:rsidRPr="003C18B5" w:rsidRDefault="00614222" w:rsidP="005742D4">
            <w:pPr>
              <w:pStyle w:val="Sinespaciado"/>
              <w:rPr>
                <w:rFonts w:ascii="Arial" w:hAnsi="Arial" w:cs="Arial"/>
                <w:b/>
              </w:rPr>
            </w:pPr>
            <w:r w:rsidRPr="003C18B5">
              <w:rPr>
                <w:rFonts w:ascii="Arial" w:hAnsi="Arial" w:cs="Arial"/>
                <w:b/>
              </w:rPr>
              <w:t>INVESTIGADOR – ADJUNTO (DOCENTE TITULAR)</w:t>
            </w:r>
          </w:p>
          <w:p w:rsidR="00614222" w:rsidRPr="003C18B5" w:rsidRDefault="00614222" w:rsidP="005742D4">
            <w:pPr>
              <w:pStyle w:val="Sinespaciado"/>
              <w:rPr>
                <w:rFonts w:ascii="Arial" w:hAnsi="Arial" w:cs="Arial"/>
                <w:i/>
              </w:rPr>
            </w:pPr>
            <w:r w:rsidRPr="003C18B5">
              <w:rPr>
                <w:rFonts w:ascii="Arial" w:hAnsi="Arial" w:cs="Arial"/>
                <w:i/>
              </w:rPr>
              <w:t xml:space="preserve">Máximo dos docentes adjuntos con distinto tiempo de dedicación </w:t>
            </w:r>
          </w:p>
        </w:tc>
      </w:tr>
      <w:tr w:rsidR="00614222" w:rsidRPr="003C18B5" w:rsidTr="00AE76C9">
        <w:tc>
          <w:tcPr>
            <w:tcW w:w="2352" w:type="dxa"/>
          </w:tcPr>
          <w:p w:rsidR="00614222" w:rsidRPr="003C18B5" w:rsidRDefault="00614222" w:rsidP="005742D4">
            <w:pPr>
              <w:rPr>
                <w:rFonts w:ascii="Arial" w:hAnsi="Arial" w:cs="Arial"/>
              </w:rPr>
            </w:pPr>
            <w:r w:rsidRPr="003C18B5">
              <w:rPr>
                <w:rFonts w:ascii="Arial" w:hAnsi="Arial" w:cs="Arial"/>
              </w:rPr>
              <w:t>Apellidos</w:t>
            </w:r>
          </w:p>
        </w:tc>
        <w:tc>
          <w:tcPr>
            <w:tcW w:w="2345" w:type="dxa"/>
          </w:tcPr>
          <w:p w:rsidR="00614222" w:rsidRPr="0011795C" w:rsidRDefault="005D628C" w:rsidP="005D628C">
            <w:pPr>
              <w:rPr>
                <w:rFonts w:ascii="Arial" w:hAnsi="Arial" w:cs="Arial"/>
              </w:rPr>
            </w:pPr>
            <w:r w:rsidRPr="0011795C">
              <w:rPr>
                <w:rFonts w:ascii="Arial" w:eastAsiaTheme="minorHAnsi" w:hAnsi="Arial" w:cs="Arial"/>
                <w:bCs/>
                <w:lang w:val="es-EC"/>
              </w:rPr>
              <w:t xml:space="preserve">Soto Vivas </w:t>
            </w:r>
          </w:p>
        </w:tc>
        <w:tc>
          <w:tcPr>
            <w:tcW w:w="2352" w:type="dxa"/>
          </w:tcPr>
          <w:p w:rsidR="00614222" w:rsidRPr="003C18B5" w:rsidRDefault="00614222" w:rsidP="005742D4">
            <w:pPr>
              <w:rPr>
                <w:rFonts w:ascii="Arial" w:hAnsi="Arial" w:cs="Arial"/>
              </w:rPr>
            </w:pPr>
            <w:r w:rsidRPr="003C18B5">
              <w:rPr>
                <w:rFonts w:ascii="Arial" w:hAnsi="Arial" w:cs="Arial"/>
              </w:rPr>
              <w:t>Nombres</w:t>
            </w:r>
          </w:p>
        </w:tc>
        <w:tc>
          <w:tcPr>
            <w:tcW w:w="2345" w:type="dxa"/>
          </w:tcPr>
          <w:p w:rsidR="00614222" w:rsidRPr="000F6CBF" w:rsidRDefault="005D628C" w:rsidP="005D628C">
            <w:pPr>
              <w:rPr>
                <w:rFonts w:ascii="Arial" w:hAnsi="Arial" w:cs="Arial"/>
              </w:rPr>
            </w:pPr>
            <w:r w:rsidRPr="000F6CBF">
              <w:rPr>
                <w:rFonts w:ascii="Arial" w:eastAsiaTheme="minorHAnsi" w:hAnsi="Arial" w:cs="Arial"/>
                <w:bCs/>
                <w:lang w:val="es-EC"/>
              </w:rPr>
              <w:t xml:space="preserve">Ana Yoleida </w:t>
            </w:r>
          </w:p>
        </w:tc>
      </w:tr>
      <w:tr w:rsidR="00614222" w:rsidRPr="003C18B5" w:rsidTr="00AE76C9">
        <w:tc>
          <w:tcPr>
            <w:tcW w:w="2352" w:type="dxa"/>
          </w:tcPr>
          <w:p w:rsidR="00614222" w:rsidRPr="003C18B5" w:rsidRDefault="00614222" w:rsidP="005742D4">
            <w:pPr>
              <w:rPr>
                <w:rFonts w:ascii="Arial" w:hAnsi="Arial" w:cs="Arial"/>
              </w:rPr>
            </w:pPr>
            <w:r w:rsidRPr="003C18B5">
              <w:rPr>
                <w:rFonts w:ascii="Arial" w:hAnsi="Arial" w:cs="Arial"/>
              </w:rPr>
              <w:t>Número de cedula de identidad</w:t>
            </w:r>
          </w:p>
        </w:tc>
        <w:tc>
          <w:tcPr>
            <w:tcW w:w="2345" w:type="dxa"/>
          </w:tcPr>
          <w:p w:rsidR="00614222" w:rsidRPr="003C18B5" w:rsidRDefault="005D628C" w:rsidP="005742D4">
            <w:pPr>
              <w:rPr>
                <w:rFonts w:ascii="Arial" w:hAnsi="Arial" w:cs="Arial"/>
              </w:rPr>
            </w:pPr>
            <w:r w:rsidRPr="003C18B5">
              <w:rPr>
                <w:rFonts w:ascii="Arial" w:eastAsiaTheme="minorHAnsi" w:hAnsi="Arial" w:cs="Arial"/>
                <w:lang w:val="es-EC"/>
              </w:rPr>
              <w:t xml:space="preserve">063757031 </w:t>
            </w:r>
          </w:p>
        </w:tc>
        <w:tc>
          <w:tcPr>
            <w:tcW w:w="2352" w:type="dxa"/>
          </w:tcPr>
          <w:p w:rsidR="00614222" w:rsidRPr="003C18B5" w:rsidRDefault="00614222" w:rsidP="005742D4">
            <w:pPr>
              <w:rPr>
                <w:rFonts w:ascii="Arial" w:hAnsi="Arial" w:cs="Arial"/>
              </w:rPr>
            </w:pPr>
            <w:r w:rsidRPr="003C18B5">
              <w:rPr>
                <w:rFonts w:ascii="Arial" w:hAnsi="Arial" w:cs="Arial"/>
              </w:rPr>
              <w:t>Dirección Domiciliaria</w:t>
            </w:r>
          </w:p>
        </w:tc>
        <w:tc>
          <w:tcPr>
            <w:tcW w:w="2345" w:type="dxa"/>
          </w:tcPr>
          <w:p w:rsidR="00614222" w:rsidRPr="000F6CBF" w:rsidRDefault="00614222" w:rsidP="005742D4">
            <w:pPr>
              <w:rPr>
                <w:rFonts w:ascii="Arial" w:hAnsi="Arial" w:cs="Arial"/>
              </w:rPr>
            </w:pPr>
          </w:p>
        </w:tc>
      </w:tr>
      <w:tr w:rsidR="00614222" w:rsidRPr="003C18B5" w:rsidTr="00AE76C9">
        <w:tc>
          <w:tcPr>
            <w:tcW w:w="2352" w:type="dxa"/>
          </w:tcPr>
          <w:p w:rsidR="00614222" w:rsidRPr="003C18B5" w:rsidRDefault="00614222" w:rsidP="005742D4">
            <w:pPr>
              <w:rPr>
                <w:rFonts w:ascii="Arial" w:hAnsi="Arial" w:cs="Arial"/>
              </w:rPr>
            </w:pPr>
            <w:r w:rsidRPr="003C18B5">
              <w:rPr>
                <w:rFonts w:ascii="Arial" w:hAnsi="Arial" w:cs="Arial"/>
              </w:rPr>
              <w:t>Titulo Tercer Nivel</w:t>
            </w:r>
          </w:p>
        </w:tc>
        <w:tc>
          <w:tcPr>
            <w:tcW w:w="2345" w:type="dxa"/>
          </w:tcPr>
          <w:p w:rsidR="00614222" w:rsidRPr="003C18B5" w:rsidRDefault="001A33A9" w:rsidP="005742D4">
            <w:pPr>
              <w:rPr>
                <w:rFonts w:ascii="Arial" w:hAnsi="Arial" w:cs="Arial"/>
              </w:rPr>
            </w:pPr>
            <w:r w:rsidRPr="003C18B5">
              <w:rPr>
                <w:rFonts w:ascii="Arial" w:hAnsi="Arial" w:cs="Arial"/>
              </w:rPr>
              <w:t>Profesora en Ciencias Naturales, mención Biología</w:t>
            </w:r>
          </w:p>
        </w:tc>
        <w:tc>
          <w:tcPr>
            <w:tcW w:w="2352" w:type="dxa"/>
          </w:tcPr>
          <w:p w:rsidR="00614222" w:rsidRPr="003C18B5" w:rsidRDefault="00614222" w:rsidP="005742D4">
            <w:pPr>
              <w:rPr>
                <w:rFonts w:ascii="Arial" w:hAnsi="Arial" w:cs="Arial"/>
              </w:rPr>
            </w:pPr>
            <w:r w:rsidRPr="003C18B5">
              <w:rPr>
                <w:rFonts w:ascii="Arial" w:hAnsi="Arial" w:cs="Arial"/>
              </w:rPr>
              <w:t>Titulo Cuarto Nivel</w:t>
            </w:r>
          </w:p>
        </w:tc>
        <w:tc>
          <w:tcPr>
            <w:tcW w:w="2345" w:type="dxa"/>
          </w:tcPr>
          <w:p w:rsidR="00614222" w:rsidRPr="000F6CBF" w:rsidRDefault="001A33A9" w:rsidP="005742D4">
            <w:pPr>
              <w:rPr>
                <w:rFonts w:ascii="Arial" w:hAnsi="Arial" w:cs="Arial"/>
              </w:rPr>
            </w:pPr>
            <w:r w:rsidRPr="000F6CBF">
              <w:rPr>
                <w:rFonts w:ascii="Arial" w:hAnsi="Arial" w:cs="Arial"/>
              </w:rPr>
              <w:t>Doctora en Ciencias, mención Entomología</w:t>
            </w:r>
          </w:p>
        </w:tc>
      </w:tr>
      <w:tr w:rsidR="00614222" w:rsidRPr="003C18B5" w:rsidTr="00AE76C9">
        <w:tc>
          <w:tcPr>
            <w:tcW w:w="2352" w:type="dxa"/>
          </w:tcPr>
          <w:p w:rsidR="00614222" w:rsidRPr="003C18B5" w:rsidRDefault="00614222" w:rsidP="005742D4">
            <w:pPr>
              <w:rPr>
                <w:rFonts w:ascii="Arial" w:hAnsi="Arial" w:cs="Arial"/>
              </w:rPr>
            </w:pPr>
            <w:r w:rsidRPr="003C18B5">
              <w:rPr>
                <w:rFonts w:ascii="Arial" w:hAnsi="Arial" w:cs="Arial"/>
              </w:rPr>
              <w:t>Categoría Docente</w:t>
            </w:r>
          </w:p>
        </w:tc>
        <w:sdt>
          <w:sdtPr>
            <w:rPr>
              <w:rFonts w:ascii="Arial" w:hAnsi="Arial" w:cs="Arial"/>
            </w:rPr>
            <w:alias w:val="Seleccionar"/>
            <w:tag w:val="Seleccionar"/>
            <w:id w:val="482203664"/>
            <w:placeholder>
              <w:docPart w:val="DCDE4D0DA035439988499529EA2C3BBB"/>
            </w:placeholder>
            <w:showingPlcHd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345" w:type="dxa"/>
              </w:tcPr>
              <w:p w:rsidR="00614222" w:rsidRPr="003C18B5" w:rsidRDefault="00614222" w:rsidP="005742D4">
                <w:pPr>
                  <w:rPr>
                    <w:rFonts w:ascii="Arial" w:hAnsi="Arial" w:cs="Arial"/>
                  </w:rPr>
                </w:pPr>
                <w:r w:rsidRPr="003C18B5">
                  <w:rPr>
                    <w:rStyle w:val="Textodelmarcadordeposicin"/>
                    <w:rFonts w:ascii="Arial" w:hAnsi="Arial" w:cs="Arial"/>
                  </w:rPr>
                  <w:t>Elija un elemento.</w:t>
                </w:r>
              </w:p>
            </w:tc>
          </w:sdtContent>
        </w:sdt>
        <w:tc>
          <w:tcPr>
            <w:tcW w:w="2352" w:type="dxa"/>
          </w:tcPr>
          <w:p w:rsidR="00614222" w:rsidRPr="003C18B5" w:rsidRDefault="00614222" w:rsidP="00B958BA">
            <w:pPr>
              <w:jc w:val="left"/>
              <w:rPr>
                <w:rFonts w:ascii="Arial" w:hAnsi="Arial" w:cs="Arial"/>
              </w:rPr>
            </w:pPr>
            <w:r w:rsidRPr="003C18B5">
              <w:rPr>
                <w:rFonts w:ascii="Arial" w:hAnsi="Arial" w:cs="Arial"/>
              </w:rPr>
              <w:t>Tiempo de Dedicación</w:t>
            </w:r>
          </w:p>
        </w:tc>
        <w:sdt>
          <w:sdtPr>
            <w:rPr>
              <w:rFonts w:ascii="Arial" w:hAnsi="Arial" w:cs="Arial"/>
            </w:rPr>
            <w:alias w:val="Seleccione"/>
            <w:tag w:val="Seleccione"/>
            <w:id w:val="903409079"/>
            <w:placeholder>
              <w:docPart w:val="BC1DBBF724F8488CA3AA140084E6BA59"/>
            </w:placeholder>
            <w:dropDownList>
              <w:listItem w:displayText="Parcial" w:value="Parcial"/>
              <w:listItem w:displayText="Medio Tiempo" w:value="Medio Tiempo"/>
              <w:listItem w:displayText="Tiempo Completo" w:value="Tiempo Completo"/>
            </w:dropDownList>
          </w:sdtPr>
          <w:sdtContent>
            <w:tc>
              <w:tcPr>
                <w:tcW w:w="2345" w:type="dxa"/>
              </w:tcPr>
              <w:p w:rsidR="00614222" w:rsidRPr="000F6CBF" w:rsidRDefault="005D628C" w:rsidP="005742D4">
                <w:pPr>
                  <w:rPr>
                    <w:rFonts w:ascii="Arial" w:hAnsi="Arial" w:cs="Arial"/>
                  </w:rPr>
                </w:pPr>
                <w:r w:rsidRPr="000F6CBF">
                  <w:rPr>
                    <w:rFonts w:ascii="Arial" w:hAnsi="Arial" w:cs="Arial"/>
                  </w:rPr>
                  <w:t>Tiempo Completo</w:t>
                </w:r>
              </w:p>
            </w:tc>
          </w:sdtContent>
        </w:sdt>
      </w:tr>
      <w:tr w:rsidR="00614222" w:rsidRPr="003C18B5" w:rsidTr="00AE76C9">
        <w:tc>
          <w:tcPr>
            <w:tcW w:w="2352" w:type="dxa"/>
          </w:tcPr>
          <w:p w:rsidR="00614222" w:rsidRPr="003C18B5" w:rsidRDefault="00614222" w:rsidP="005742D4">
            <w:pPr>
              <w:rPr>
                <w:rFonts w:ascii="Arial" w:hAnsi="Arial" w:cs="Arial"/>
              </w:rPr>
            </w:pPr>
            <w:r w:rsidRPr="003C18B5">
              <w:rPr>
                <w:rFonts w:ascii="Arial" w:hAnsi="Arial" w:cs="Arial"/>
              </w:rPr>
              <w:t>Facultad</w:t>
            </w:r>
          </w:p>
        </w:tc>
        <w:tc>
          <w:tcPr>
            <w:tcW w:w="2345" w:type="dxa"/>
          </w:tcPr>
          <w:p w:rsidR="00614222" w:rsidRPr="003C18B5" w:rsidRDefault="005D628C" w:rsidP="005742D4">
            <w:pPr>
              <w:rPr>
                <w:rFonts w:ascii="Arial" w:hAnsi="Arial" w:cs="Arial"/>
              </w:rPr>
            </w:pPr>
            <w:r w:rsidRPr="003C18B5">
              <w:rPr>
                <w:rFonts w:ascii="Arial" w:hAnsi="Arial" w:cs="Arial"/>
              </w:rPr>
              <w:t>Facultad de Ciencias Biológicas</w:t>
            </w:r>
          </w:p>
        </w:tc>
        <w:tc>
          <w:tcPr>
            <w:tcW w:w="2352" w:type="dxa"/>
          </w:tcPr>
          <w:p w:rsidR="00614222" w:rsidRPr="003C18B5" w:rsidRDefault="00614222" w:rsidP="005742D4">
            <w:pPr>
              <w:rPr>
                <w:rFonts w:ascii="Arial" w:hAnsi="Arial" w:cs="Arial"/>
              </w:rPr>
            </w:pPr>
            <w:r w:rsidRPr="003C18B5">
              <w:rPr>
                <w:rFonts w:ascii="Arial" w:hAnsi="Arial" w:cs="Arial"/>
              </w:rPr>
              <w:t>Carrera</w:t>
            </w:r>
          </w:p>
        </w:tc>
        <w:tc>
          <w:tcPr>
            <w:tcW w:w="2345" w:type="dxa"/>
          </w:tcPr>
          <w:p w:rsidR="00614222" w:rsidRPr="000F6CBF" w:rsidRDefault="005D628C" w:rsidP="005742D4">
            <w:pPr>
              <w:rPr>
                <w:rFonts w:ascii="Arial" w:hAnsi="Arial" w:cs="Arial"/>
              </w:rPr>
            </w:pPr>
            <w:r w:rsidRPr="000F6CBF">
              <w:rPr>
                <w:rFonts w:ascii="Arial" w:hAnsi="Arial" w:cs="Arial"/>
              </w:rPr>
              <w:t>Ciencias Biológicas</w:t>
            </w:r>
          </w:p>
        </w:tc>
      </w:tr>
      <w:tr w:rsidR="00614222" w:rsidRPr="003C18B5" w:rsidTr="00AE76C9">
        <w:tc>
          <w:tcPr>
            <w:tcW w:w="2352" w:type="dxa"/>
          </w:tcPr>
          <w:p w:rsidR="00614222" w:rsidRPr="003C18B5" w:rsidRDefault="00614222" w:rsidP="005742D4">
            <w:pPr>
              <w:rPr>
                <w:rFonts w:ascii="Arial" w:hAnsi="Arial" w:cs="Arial"/>
              </w:rPr>
            </w:pPr>
            <w:r w:rsidRPr="003C18B5">
              <w:rPr>
                <w:rFonts w:ascii="Arial" w:hAnsi="Arial" w:cs="Arial"/>
              </w:rPr>
              <w:t>Teléfono Fijo</w:t>
            </w:r>
          </w:p>
        </w:tc>
        <w:tc>
          <w:tcPr>
            <w:tcW w:w="2345" w:type="dxa"/>
          </w:tcPr>
          <w:p w:rsidR="00614222" w:rsidRPr="003C18B5" w:rsidRDefault="00614222" w:rsidP="005742D4">
            <w:pPr>
              <w:rPr>
                <w:rFonts w:ascii="Arial" w:hAnsi="Arial" w:cs="Arial"/>
              </w:rPr>
            </w:pPr>
          </w:p>
        </w:tc>
        <w:tc>
          <w:tcPr>
            <w:tcW w:w="2352" w:type="dxa"/>
          </w:tcPr>
          <w:p w:rsidR="00614222" w:rsidRPr="003C18B5" w:rsidRDefault="00614222" w:rsidP="005742D4">
            <w:pPr>
              <w:rPr>
                <w:rFonts w:ascii="Arial" w:hAnsi="Arial" w:cs="Arial"/>
              </w:rPr>
            </w:pPr>
            <w:r w:rsidRPr="003C18B5">
              <w:rPr>
                <w:rFonts w:ascii="Arial" w:hAnsi="Arial" w:cs="Arial"/>
              </w:rPr>
              <w:t>Teléfono Móvil</w:t>
            </w:r>
          </w:p>
        </w:tc>
        <w:tc>
          <w:tcPr>
            <w:tcW w:w="2345" w:type="dxa"/>
          </w:tcPr>
          <w:p w:rsidR="00614222" w:rsidRPr="000F6CBF" w:rsidRDefault="005D628C" w:rsidP="005742D4">
            <w:pPr>
              <w:rPr>
                <w:rFonts w:ascii="Arial" w:hAnsi="Arial" w:cs="Arial"/>
              </w:rPr>
            </w:pPr>
            <w:r w:rsidRPr="000F6CBF">
              <w:rPr>
                <w:rFonts w:ascii="Arial" w:hAnsi="Arial" w:cs="Arial"/>
              </w:rPr>
              <w:t>0982474515</w:t>
            </w:r>
          </w:p>
        </w:tc>
      </w:tr>
      <w:tr w:rsidR="00614222" w:rsidRPr="003C18B5" w:rsidTr="00AE76C9">
        <w:tc>
          <w:tcPr>
            <w:tcW w:w="2352" w:type="dxa"/>
          </w:tcPr>
          <w:p w:rsidR="00614222" w:rsidRPr="003C18B5" w:rsidRDefault="00614222" w:rsidP="005742D4">
            <w:pPr>
              <w:rPr>
                <w:rFonts w:ascii="Arial" w:hAnsi="Arial" w:cs="Arial"/>
              </w:rPr>
            </w:pPr>
            <w:r w:rsidRPr="003C18B5">
              <w:rPr>
                <w:rFonts w:ascii="Arial" w:hAnsi="Arial" w:cs="Arial"/>
              </w:rPr>
              <w:t xml:space="preserve">Email Institucional </w:t>
            </w:r>
          </w:p>
        </w:tc>
        <w:tc>
          <w:tcPr>
            <w:tcW w:w="2345" w:type="dxa"/>
          </w:tcPr>
          <w:p w:rsidR="00614222" w:rsidRPr="003C18B5" w:rsidRDefault="00F32BEE" w:rsidP="005742D4">
            <w:pPr>
              <w:rPr>
                <w:rFonts w:ascii="Arial" w:hAnsi="Arial" w:cs="Arial"/>
              </w:rPr>
            </w:pPr>
            <w:hyperlink r:id="rId15" w:history="1">
              <w:r w:rsidR="005D628C" w:rsidRPr="003C18B5">
                <w:rPr>
                  <w:rStyle w:val="Hipervnculo"/>
                  <w:rFonts w:ascii="Arial" w:hAnsi="Arial" w:cs="Arial"/>
                </w:rPr>
                <w:t>aysoto@uce.edu.ec</w:t>
              </w:r>
            </w:hyperlink>
            <w:r w:rsidR="005D628C" w:rsidRPr="003C18B5">
              <w:rPr>
                <w:rFonts w:ascii="Arial" w:hAnsi="Arial" w:cs="Arial"/>
              </w:rPr>
              <w:t xml:space="preserve"> </w:t>
            </w:r>
          </w:p>
        </w:tc>
        <w:tc>
          <w:tcPr>
            <w:tcW w:w="2352" w:type="dxa"/>
          </w:tcPr>
          <w:p w:rsidR="00614222" w:rsidRPr="003C18B5" w:rsidRDefault="00614222" w:rsidP="005742D4">
            <w:pPr>
              <w:rPr>
                <w:rFonts w:ascii="Arial" w:hAnsi="Arial" w:cs="Arial"/>
              </w:rPr>
            </w:pPr>
            <w:r w:rsidRPr="003C18B5">
              <w:rPr>
                <w:rFonts w:ascii="Arial" w:hAnsi="Arial" w:cs="Arial"/>
              </w:rPr>
              <w:t xml:space="preserve">Email Personal </w:t>
            </w:r>
          </w:p>
        </w:tc>
        <w:tc>
          <w:tcPr>
            <w:tcW w:w="2345" w:type="dxa"/>
          </w:tcPr>
          <w:p w:rsidR="00614222" w:rsidRPr="003C18B5" w:rsidRDefault="00F32BEE" w:rsidP="005742D4">
            <w:pPr>
              <w:rPr>
                <w:rFonts w:ascii="Arial" w:hAnsi="Arial" w:cs="Arial"/>
                <w:b/>
              </w:rPr>
            </w:pPr>
            <w:hyperlink r:id="rId16" w:history="1">
              <w:r w:rsidR="005D628C" w:rsidRPr="003C18B5">
                <w:rPr>
                  <w:rStyle w:val="Hipervnculo"/>
                  <w:rFonts w:ascii="Arial" w:hAnsi="Arial" w:cs="Arial"/>
                  <w:b/>
                </w:rPr>
                <w:t>anasoto.vivas@gmail.com</w:t>
              </w:r>
            </w:hyperlink>
            <w:r w:rsidR="005D628C" w:rsidRPr="003C18B5">
              <w:rPr>
                <w:rFonts w:ascii="Arial" w:hAnsi="Arial" w:cs="Arial"/>
                <w:b/>
              </w:rPr>
              <w:t xml:space="preserve"> </w:t>
            </w:r>
          </w:p>
        </w:tc>
      </w:tr>
      <w:tr w:rsidR="00AE76C9" w:rsidRPr="003C18B5" w:rsidTr="00E03BDD">
        <w:trPr>
          <w:trHeight w:val="139"/>
        </w:trPr>
        <w:tc>
          <w:tcPr>
            <w:tcW w:w="2357" w:type="dxa"/>
          </w:tcPr>
          <w:p w:rsidR="00AE76C9" w:rsidRPr="003C18B5" w:rsidRDefault="00AE76C9" w:rsidP="00E03BDD">
            <w:pPr>
              <w:jc w:val="left"/>
              <w:rPr>
                <w:rFonts w:ascii="Arial" w:hAnsi="Arial" w:cs="Arial"/>
              </w:rPr>
            </w:pPr>
            <w:r w:rsidRPr="003C18B5">
              <w:rPr>
                <w:rFonts w:ascii="Arial" w:hAnsi="Arial" w:cs="Arial"/>
              </w:rPr>
              <w:t>Resumen de experiencia previa en investigación</w:t>
            </w:r>
          </w:p>
        </w:tc>
        <w:tc>
          <w:tcPr>
            <w:tcW w:w="7037" w:type="dxa"/>
            <w:gridSpan w:val="3"/>
          </w:tcPr>
          <w:p w:rsidR="00867A26" w:rsidRDefault="00265773" w:rsidP="00265773">
            <w:pPr>
              <w:rPr>
                <w:rFonts w:ascii="Arial" w:hAnsi="Arial" w:cs="Arial"/>
              </w:rPr>
            </w:pPr>
            <w:r w:rsidRPr="003C18B5">
              <w:rPr>
                <w:rFonts w:ascii="Arial" w:hAnsi="Arial" w:cs="Arial"/>
              </w:rPr>
              <w:t>Autora y co-autora de más de 10</w:t>
            </w:r>
            <w:r w:rsidR="005D628C" w:rsidRPr="003C18B5">
              <w:rPr>
                <w:rFonts w:ascii="Arial" w:hAnsi="Arial" w:cs="Arial"/>
              </w:rPr>
              <w:t xml:space="preserve"> artículos arbitrados e indexados en el campo de la  Bioecología, control y taxonomía de inse</w:t>
            </w:r>
            <w:r w:rsidRPr="003C18B5">
              <w:rPr>
                <w:rFonts w:ascii="Arial" w:hAnsi="Arial" w:cs="Arial"/>
              </w:rPr>
              <w:t>ctos de importancia mé</w:t>
            </w:r>
            <w:r w:rsidR="005D628C" w:rsidRPr="003C18B5">
              <w:rPr>
                <w:rFonts w:ascii="Arial" w:hAnsi="Arial" w:cs="Arial"/>
              </w:rPr>
              <w:t>dica, con énfasis en la subfamila Triatominae, vectores de la enfermedad de Chagas.</w:t>
            </w:r>
            <w:r w:rsidRPr="003C18B5">
              <w:rPr>
                <w:rFonts w:ascii="Arial" w:hAnsi="Arial" w:cs="Arial"/>
              </w:rPr>
              <w:t xml:space="preserve"> Entomologa, con Maestría y Doctorado graduada en la Universidad Central de Venezuela. Formada como experta en el área bioecología y de control de plagas con énfasis en insectos de importancia sanitaria y ambiental Con más de 19 años de experiencia en investigación básica y operativa enfocados en la prevención y control de plagas, experta en la formación y capacitación de personal en empresas con enfoque alimenticio, y servicios. Amplia experiencia en la formación de personal en tercer y cuarto nivel. Habilidades en el manejo de proyectos de investigación.</w:t>
            </w:r>
          </w:p>
          <w:p w:rsidR="00AE76C9" w:rsidRPr="003C18B5" w:rsidRDefault="00867A26" w:rsidP="00265773">
            <w:pPr>
              <w:rPr>
                <w:rFonts w:ascii="Arial" w:hAnsi="Arial" w:cs="Arial"/>
              </w:rPr>
            </w:pPr>
            <w:r>
              <w:rPr>
                <w:rFonts w:ascii="Arial" w:hAnsi="Arial" w:cs="Arial"/>
              </w:rPr>
              <w:t>(</w:t>
            </w:r>
            <w:hyperlink r:id="rId17" w:history="1">
              <w:r w:rsidRPr="00AC75F0">
                <w:rPr>
                  <w:rStyle w:val="Hipervnculo"/>
                  <w:rFonts w:ascii="Arial" w:hAnsi="Arial" w:cs="Arial"/>
                </w:rPr>
                <w:t>https://scholar.google.com/citations?user=fePI2OAAAAAJ&amp;hl=es</w:t>
              </w:r>
            </w:hyperlink>
            <w:r>
              <w:rPr>
                <w:rFonts w:ascii="Arial" w:hAnsi="Arial" w:cs="Arial"/>
              </w:rPr>
              <w:t>)</w:t>
            </w:r>
          </w:p>
        </w:tc>
      </w:tr>
    </w:tbl>
    <w:p w:rsidR="00AE76C9" w:rsidRDefault="00AE76C9" w:rsidP="00F635FC">
      <w:pPr>
        <w:rPr>
          <w:rFonts w:ascii="Arial" w:hAnsi="Arial" w:cs="Arial"/>
          <w:b/>
        </w:rPr>
      </w:pPr>
    </w:p>
    <w:p w:rsidR="007F5DAC" w:rsidRDefault="007F5DAC" w:rsidP="00F635FC">
      <w:pPr>
        <w:rPr>
          <w:rFonts w:ascii="Arial" w:hAnsi="Arial" w:cs="Arial"/>
          <w:b/>
        </w:rPr>
      </w:pPr>
    </w:p>
    <w:p w:rsidR="007F5DAC" w:rsidRDefault="007F5DAC" w:rsidP="00F635FC">
      <w:pPr>
        <w:rPr>
          <w:rFonts w:ascii="Arial" w:hAnsi="Arial" w:cs="Arial"/>
          <w:b/>
        </w:rPr>
      </w:pPr>
    </w:p>
    <w:p w:rsidR="007F5DAC" w:rsidRPr="003C18B5" w:rsidRDefault="007F5DAC" w:rsidP="00F635FC">
      <w:pPr>
        <w:rPr>
          <w:rFonts w:ascii="Arial" w:hAnsi="Arial" w:cs="Arial"/>
          <w:b/>
        </w:rPr>
      </w:pPr>
    </w:p>
    <w:p w:rsidR="00614222" w:rsidRPr="003C18B5" w:rsidRDefault="00941FB7" w:rsidP="00F635FC">
      <w:pPr>
        <w:rPr>
          <w:rFonts w:ascii="Arial" w:hAnsi="Arial" w:cs="Arial"/>
          <w:b/>
        </w:rPr>
      </w:pPr>
      <w:r w:rsidRPr="003C18B5">
        <w:rPr>
          <w:rFonts w:ascii="Arial" w:hAnsi="Arial" w:cs="Arial"/>
          <w:b/>
        </w:rPr>
        <w:lastRenderedPageBreak/>
        <w:t>(Solo participa</w:t>
      </w:r>
      <w:r w:rsidR="006D2491" w:rsidRPr="003C18B5">
        <w:rPr>
          <w:rFonts w:ascii="Arial" w:hAnsi="Arial" w:cs="Arial"/>
          <w:b/>
        </w:rPr>
        <w:t>rán estudiantes voluntarios, no</w:t>
      </w:r>
      <w:r w:rsidRPr="003C18B5">
        <w:rPr>
          <w:rFonts w:ascii="Arial" w:hAnsi="Arial" w:cs="Arial"/>
          <w:b/>
        </w:rPr>
        <w:t xml:space="preserve"> pasantes)</w:t>
      </w:r>
    </w:p>
    <w:tbl>
      <w:tblPr>
        <w:tblStyle w:val="Tablaconcuadrcula"/>
        <w:tblW w:w="0" w:type="auto"/>
        <w:tblLook w:val="04A0"/>
      </w:tblPr>
      <w:tblGrid>
        <w:gridCol w:w="2368"/>
        <w:gridCol w:w="2384"/>
        <w:gridCol w:w="2362"/>
        <w:gridCol w:w="2506"/>
      </w:tblGrid>
      <w:tr w:rsidR="00181D9B" w:rsidRPr="003C18B5" w:rsidTr="002048FF">
        <w:tc>
          <w:tcPr>
            <w:tcW w:w="9544" w:type="dxa"/>
            <w:gridSpan w:val="4"/>
            <w:shd w:val="clear" w:color="auto" w:fill="9CC2E5" w:themeFill="accent1" w:themeFillTint="99"/>
          </w:tcPr>
          <w:p w:rsidR="00614222" w:rsidRPr="003C18B5" w:rsidRDefault="00181D9B" w:rsidP="00614222">
            <w:pPr>
              <w:pStyle w:val="Sinespaciado"/>
              <w:rPr>
                <w:rFonts w:ascii="Arial" w:hAnsi="Arial" w:cs="Arial"/>
                <w:b/>
              </w:rPr>
            </w:pPr>
            <w:r w:rsidRPr="003C18B5">
              <w:rPr>
                <w:rFonts w:ascii="Arial" w:hAnsi="Arial" w:cs="Arial"/>
                <w:b/>
              </w:rPr>
              <w:t>ESTUDIANTES</w:t>
            </w:r>
          </w:p>
          <w:p w:rsidR="00614222" w:rsidRPr="003C18B5" w:rsidRDefault="00614222" w:rsidP="00614222">
            <w:pPr>
              <w:pStyle w:val="Sinespaciado"/>
              <w:rPr>
                <w:rFonts w:ascii="Arial" w:hAnsi="Arial" w:cs="Arial"/>
              </w:rPr>
            </w:pPr>
            <w:r w:rsidRPr="003C18B5">
              <w:rPr>
                <w:rFonts w:ascii="Arial" w:hAnsi="Arial" w:cs="Arial"/>
                <w:i/>
              </w:rPr>
              <w:t>Máximo tres  estudiantes  adjuntos con distinto tiempo de dedicación</w:t>
            </w:r>
          </w:p>
        </w:tc>
      </w:tr>
      <w:tr w:rsidR="00181D9B" w:rsidRPr="003C18B5" w:rsidTr="005742D4">
        <w:tc>
          <w:tcPr>
            <w:tcW w:w="2386" w:type="dxa"/>
          </w:tcPr>
          <w:p w:rsidR="00181D9B" w:rsidRPr="003C18B5" w:rsidRDefault="00181D9B" w:rsidP="005742D4">
            <w:pPr>
              <w:rPr>
                <w:rFonts w:ascii="Arial" w:hAnsi="Arial" w:cs="Arial"/>
              </w:rPr>
            </w:pPr>
            <w:r w:rsidRPr="003C18B5">
              <w:rPr>
                <w:rFonts w:ascii="Arial" w:hAnsi="Arial" w:cs="Arial"/>
              </w:rPr>
              <w:t>Apellidos</w:t>
            </w:r>
          </w:p>
        </w:tc>
        <w:tc>
          <w:tcPr>
            <w:tcW w:w="2386" w:type="dxa"/>
          </w:tcPr>
          <w:p w:rsidR="00181D9B" w:rsidRPr="003C18B5" w:rsidRDefault="0005135F" w:rsidP="005742D4">
            <w:pPr>
              <w:rPr>
                <w:rFonts w:ascii="Arial" w:hAnsi="Arial" w:cs="Arial"/>
              </w:rPr>
            </w:pPr>
            <w:r w:rsidRPr="003C18B5">
              <w:rPr>
                <w:rFonts w:ascii="Arial" w:hAnsi="Arial" w:cs="Arial"/>
              </w:rPr>
              <w:t>Barros Berrones</w:t>
            </w:r>
          </w:p>
        </w:tc>
        <w:tc>
          <w:tcPr>
            <w:tcW w:w="2386" w:type="dxa"/>
          </w:tcPr>
          <w:p w:rsidR="00181D9B" w:rsidRPr="003C18B5" w:rsidRDefault="00181D9B" w:rsidP="005742D4">
            <w:pPr>
              <w:rPr>
                <w:rFonts w:ascii="Arial" w:hAnsi="Arial" w:cs="Arial"/>
              </w:rPr>
            </w:pPr>
            <w:r w:rsidRPr="003C18B5">
              <w:rPr>
                <w:rFonts w:ascii="Arial" w:hAnsi="Arial" w:cs="Arial"/>
              </w:rPr>
              <w:t>Nombres</w:t>
            </w:r>
          </w:p>
        </w:tc>
        <w:tc>
          <w:tcPr>
            <w:tcW w:w="2386" w:type="dxa"/>
          </w:tcPr>
          <w:p w:rsidR="00181D9B" w:rsidRPr="003C18B5" w:rsidRDefault="0005135F" w:rsidP="005742D4">
            <w:pPr>
              <w:rPr>
                <w:rFonts w:ascii="Arial" w:hAnsi="Arial" w:cs="Arial"/>
              </w:rPr>
            </w:pPr>
            <w:r w:rsidRPr="003C18B5">
              <w:rPr>
                <w:rFonts w:ascii="Arial" w:hAnsi="Arial" w:cs="Arial"/>
              </w:rPr>
              <w:t>Jofre Stalin</w:t>
            </w:r>
          </w:p>
        </w:tc>
      </w:tr>
      <w:tr w:rsidR="00181D9B" w:rsidRPr="003C18B5" w:rsidTr="005742D4">
        <w:tc>
          <w:tcPr>
            <w:tcW w:w="2386" w:type="dxa"/>
          </w:tcPr>
          <w:p w:rsidR="00181D9B" w:rsidRPr="003C18B5" w:rsidRDefault="00181D9B" w:rsidP="005742D4">
            <w:pPr>
              <w:rPr>
                <w:rFonts w:ascii="Arial" w:hAnsi="Arial" w:cs="Arial"/>
              </w:rPr>
            </w:pPr>
            <w:r w:rsidRPr="003C18B5">
              <w:rPr>
                <w:rFonts w:ascii="Arial" w:hAnsi="Arial" w:cs="Arial"/>
              </w:rPr>
              <w:t xml:space="preserve">Tipo de Identificación </w:t>
            </w:r>
          </w:p>
        </w:tc>
        <w:sdt>
          <w:sdtPr>
            <w:rPr>
              <w:rFonts w:ascii="Arial" w:hAnsi="Arial" w:cs="Arial"/>
            </w:rPr>
            <w:id w:val="-1055159330"/>
            <w:placeholder>
              <w:docPart w:val="DefaultPlaceholder_1081868575"/>
            </w:placeholder>
            <w:dropDownList>
              <w:listItem w:displayText="Cédula" w:value="Cédula"/>
              <w:listItem w:displayText="Pasaporte" w:value="Pasaporte"/>
            </w:dropDownList>
          </w:sdtPr>
          <w:sdtContent>
            <w:tc>
              <w:tcPr>
                <w:tcW w:w="2386" w:type="dxa"/>
              </w:tcPr>
              <w:p w:rsidR="00181D9B" w:rsidRPr="003C18B5" w:rsidRDefault="00597588" w:rsidP="005742D4">
                <w:pPr>
                  <w:rPr>
                    <w:rFonts w:ascii="Arial" w:hAnsi="Arial" w:cs="Arial"/>
                  </w:rPr>
                </w:pPr>
                <w:r w:rsidRPr="003C18B5">
                  <w:rPr>
                    <w:rFonts w:ascii="Arial" w:hAnsi="Arial" w:cs="Arial"/>
                  </w:rPr>
                  <w:t>Cédula</w:t>
                </w:r>
              </w:p>
            </w:tc>
          </w:sdtContent>
        </w:sdt>
        <w:tc>
          <w:tcPr>
            <w:tcW w:w="2386" w:type="dxa"/>
          </w:tcPr>
          <w:p w:rsidR="00181D9B" w:rsidRPr="003C18B5" w:rsidRDefault="00181D9B" w:rsidP="005742D4">
            <w:pPr>
              <w:rPr>
                <w:rFonts w:ascii="Arial" w:hAnsi="Arial" w:cs="Arial"/>
              </w:rPr>
            </w:pPr>
            <w:r w:rsidRPr="003C18B5">
              <w:rPr>
                <w:rFonts w:ascii="Arial" w:hAnsi="Arial" w:cs="Arial"/>
              </w:rPr>
              <w:t>Número de cedula / pasaporte</w:t>
            </w:r>
          </w:p>
        </w:tc>
        <w:tc>
          <w:tcPr>
            <w:tcW w:w="2386" w:type="dxa"/>
          </w:tcPr>
          <w:p w:rsidR="00181D9B" w:rsidRPr="003C18B5" w:rsidRDefault="00597588" w:rsidP="005742D4">
            <w:pPr>
              <w:rPr>
                <w:rFonts w:ascii="Arial" w:hAnsi="Arial" w:cs="Arial"/>
              </w:rPr>
            </w:pPr>
            <w:r w:rsidRPr="003C18B5">
              <w:rPr>
                <w:rFonts w:ascii="Arial" w:hAnsi="Arial" w:cs="Arial"/>
              </w:rPr>
              <w:t>1722797824</w:t>
            </w:r>
          </w:p>
        </w:tc>
      </w:tr>
      <w:tr w:rsidR="00181D9B" w:rsidRPr="003C18B5" w:rsidTr="005742D4">
        <w:tc>
          <w:tcPr>
            <w:tcW w:w="2386" w:type="dxa"/>
          </w:tcPr>
          <w:p w:rsidR="00181D9B" w:rsidRPr="003C18B5" w:rsidRDefault="00181D9B" w:rsidP="006D2491">
            <w:pPr>
              <w:jc w:val="left"/>
              <w:rPr>
                <w:rFonts w:ascii="Arial" w:hAnsi="Arial" w:cs="Arial"/>
              </w:rPr>
            </w:pPr>
            <w:r w:rsidRPr="003C18B5">
              <w:rPr>
                <w:rFonts w:ascii="Arial" w:hAnsi="Arial" w:cs="Arial"/>
              </w:rPr>
              <w:t xml:space="preserve">Nivel de Instrucción </w:t>
            </w:r>
          </w:p>
        </w:tc>
        <w:sdt>
          <w:sdtPr>
            <w:rPr>
              <w:rFonts w:ascii="Arial" w:hAnsi="Arial" w:cs="Arial"/>
            </w:rPr>
            <w:alias w:val="Seleccione"/>
            <w:tag w:val="Seleccione"/>
            <w:id w:val="-1264604342"/>
            <w:placeholder>
              <w:docPart w:val="DefaultPlaceholder_1081868575"/>
            </w:placeholder>
            <w:dropDownList>
              <w:listItem w:displayText="Pregrado " w:value="Pregrado "/>
              <w:listItem w:displayText="Posgrado" w:value="Posgrado"/>
            </w:dropDownList>
          </w:sdtPr>
          <w:sdtContent>
            <w:tc>
              <w:tcPr>
                <w:tcW w:w="2386" w:type="dxa"/>
              </w:tcPr>
              <w:p w:rsidR="00181D9B" w:rsidRPr="003C18B5" w:rsidRDefault="002D0471" w:rsidP="005742D4">
                <w:pPr>
                  <w:rPr>
                    <w:rFonts w:ascii="Arial" w:hAnsi="Arial" w:cs="Arial"/>
                  </w:rPr>
                </w:pPr>
                <w:r w:rsidRPr="003C18B5">
                  <w:rPr>
                    <w:rFonts w:ascii="Arial" w:hAnsi="Arial" w:cs="Arial"/>
                  </w:rPr>
                  <w:t xml:space="preserve">Pregrado </w:t>
                </w:r>
              </w:p>
            </w:tc>
          </w:sdtContent>
        </w:sdt>
        <w:tc>
          <w:tcPr>
            <w:tcW w:w="2386" w:type="dxa"/>
          </w:tcPr>
          <w:p w:rsidR="00181D9B" w:rsidRPr="003C18B5" w:rsidRDefault="00181D9B" w:rsidP="005742D4">
            <w:pPr>
              <w:rPr>
                <w:rFonts w:ascii="Arial" w:hAnsi="Arial" w:cs="Arial"/>
              </w:rPr>
            </w:pPr>
            <w:r w:rsidRPr="003C18B5">
              <w:rPr>
                <w:rFonts w:ascii="Arial" w:hAnsi="Arial" w:cs="Arial"/>
              </w:rPr>
              <w:t>Facultad</w:t>
            </w:r>
          </w:p>
        </w:tc>
        <w:tc>
          <w:tcPr>
            <w:tcW w:w="2386" w:type="dxa"/>
          </w:tcPr>
          <w:p w:rsidR="00181D9B" w:rsidRPr="003C18B5" w:rsidRDefault="002D0471" w:rsidP="005742D4">
            <w:pPr>
              <w:rPr>
                <w:rFonts w:ascii="Arial" w:hAnsi="Arial" w:cs="Arial"/>
              </w:rPr>
            </w:pPr>
            <w:r w:rsidRPr="003C18B5">
              <w:rPr>
                <w:rFonts w:ascii="Arial" w:hAnsi="Arial" w:cs="Arial"/>
              </w:rPr>
              <w:t>Ciencias Químicas</w:t>
            </w:r>
          </w:p>
        </w:tc>
      </w:tr>
      <w:tr w:rsidR="00181D9B" w:rsidRPr="003C18B5" w:rsidTr="005742D4">
        <w:tc>
          <w:tcPr>
            <w:tcW w:w="2386" w:type="dxa"/>
          </w:tcPr>
          <w:p w:rsidR="00181D9B" w:rsidRPr="003C18B5" w:rsidRDefault="00181D9B" w:rsidP="006D2491">
            <w:pPr>
              <w:jc w:val="left"/>
              <w:rPr>
                <w:rFonts w:ascii="Arial" w:hAnsi="Arial" w:cs="Arial"/>
              </w:rPr>
            </w:pPr>
            <w:r w:rsidRPr="003C18B5">
              <w:rPr>
                <w:rFonts w:ascii="Arial" w:hAnsi="Arial" w:cs="Arial"/>
              </w:rPr>
              <w:t>Programa de Posgrado</w:t>
            </w:r>
          </w:p>
        </w:tc>
        <w:tc>
          <w:tcPr>
            <w:tcW w:w="2386" w:type="dxa"/>
          </w:tcPr>
          <w:p w:rsidR="00181D9B" w:rsidRPr="003C18B5" w:rsidRDefault="00181D9B" w:rsidP="00181D9B">
            <w:pPr>
              <w:tabs>
                <w:tab w:val="right" w:pos="2170"/>
              </w:tabs>
              <w:rPr>
                <w:rFonts w:ascii="Arial" w:hAnsi="Arial" w:cs="Arial"/>
              </w:rPr>
            </w:pPr>
          </w:p>
        </w:tc>
        <w:tc>
          <w:tcPr>
            <w:tcW w:w="2386" w:type="dxa"/>
          </w:tcPr>
          <w:p w:rsidR="00181D9B" w:rsidRPr="003C18B5" w:rsidRDefault="00181D9B" w:rsidP="005742D4">
            <w:pPr>
              <w:rPr>
                <w:rFonts w:ascii="Arial" w:hAnsi="Arial" w:cs="Arial"/>
              </w:rPr>
            </w:pPr>
            <w:r w:rsidRPr="003C18B5">
              <w:rPr>
                <w:rFonts w:ascii="Arial" w:hAnsi="Arial" w:cs="Arial"/>
              </w:rPr>
              <w:t>Carrera</w:t>
            </w:r>
          </w:p>
        </w:tc>
        <w:tc>
          <w:tcPr>
            <w:tcW w:w="2386" w:type="dxa"/>
          </w:tcPr>
          <w:p w:rsidR="00181D9B" w:rsidRPr="003C18B5" w:rsidRDefault="002D0471" w:rsidP="005742D4">
            <w:pPr>
              <w:rPr>
                <w:rFonts w:ascii="Arial" w:hAnsi="Arial" w:cs="Arial"/>
              </w:rPr>
            </w:pPr>
            <w:r w:rsidRPr="003C18B5">
              <w:rPr>
                <w:rFonts w:ascii="Arial" w:hAnsi="Arial" w:cs="Arial"/>
              </w:rPr>
              <w:t xml:space="preserve">Química Farmacéutica </w:t>
            </w:r>
          </w:p>
        </w:tc>
      </w:tr>
      <w:tr w:rsidR="00181D9B" w:rsidRPr="003C18B5" w:rsidTr="005742D4">
        <w:tc>
          <w:tcPr>
            <w:tcW w:w="2386" w:type="dxa"/>
          </w:tcPr>
          <w:p w:rsidR="00181D9B" w:rsidRPr="003C18B5" w:rsidRDefault="00181D9B" w:rsidP="005742D4">
            <w:pPr>
              <w:rPr>
                <w:rFonts w:ascii="Arial" w:hAnsi="Arial" w:cs="Arial"/>
              </w:rPr>
            </w:pPr>
            <w:r w:rsidRPr="003C18B5">
              <w:rPr>
                <w:rFonts w:ascii="Arial" w:hAnsi="Arial" w:cs="Arial"/>
              </w:rPr>
              <w:t>Semestre / Nivel</w:t>
            </w:r>
          </w:p>
        </w:tc>
        <w:tc>
          <w:tcPr>
            <w:tcW w:w="2386" w:type="dxa"/>
          </w:tcPr>
          <w:p w:rsidR="00181D9B" w:rsidRPr="003C18B5" w:rsidRDefault="009908BE" w:rsidP="005742D4">
            <w:pPr>
              <w:rPr>
                <w:rFonts w:ascii="Arial" w:hAnsi="Arial" w:cs="Arial"/>
              </w:rPr>
            </w:pPr>
            <w:r w:rsidRPr="003C18B5">
              <w:rPr>
                <w:rFonts w:ascii="Arial" w:hAnsi="Arial" w:cs="Arial"/>
              </w:rPr>
              <w:t>Noveno</w:t>
            </w:r>
          </w:p>
        </w:tc>
        <w:tc>
          <w:tcPr>
            <w:tcW w:w="2386" w:type="dxa"/>
          </w:tcPr>
          <w:p w:rsidR="00181D9B" w:rsidRPr="003C18B5" w:rsidRDefault="00181D9B" w:rsidP="005742D4">
            <w:pPr>
              <w:rPr>
                <w:rFonts w:ascii="Arial" w:hAnsi="Arial" w:cs="Arial"/>
              </w:rPr>
            </w:pPr>
          </w:p>
        </w:tc>
        <w:tc>
          <w:tcPr>
            <w:tcW w:w="2386" w:type="dxa"/>
          </w:tcPr>
          <w:p w:rsidR="00181D9B" w:rsidRPr="003C18B5" w:rsidRDefault="00181D9B" w:rsidP="005742D4">
            <w:pPr>
              <w:rPr>
                <w:rFonts w:ascii="Arial" w:hAnsi="Arial" w:cs="Arial"/>
                <w:b/>
              </w:rPr>
            </w:pPr>
          </w:p>
        </w:tc>
      </w:tr>
      <w:tr w:rsidR="00181D9B" w:rsidRPr="003C18B5" w:rsidTr="005742D4">
        <w:tc>
          <w:tcPr>
            <w:tcW w:w="2386" w:type="dxa"/>
          </w:tcPr>
          <w:p w:rsidR="00181D9B" w:rsidRPr="003C18B5" w:rsidRDefault="00181D9B" w:rsidP="005742D4">
            <w:pPr>
              <w:rPr>
                <w:rFonts w:ascii="Arial" w:hAnsi="Arial" w:cs="Arial"/>
              </w:rPr>
            </w:pPr>
            <w:r w:rsidRPr="003C18B5">
              <w:rPr>
                <w:rFonts w:ascii="Arial" w:hAnsi="Arial" w:cs="Arial"/>
              </w:rPr>
              <w:t>Teléfono Fijo</w:t>
            </w:r>
          </w:p>
        </w:tc>
        <w:tc>
          <w:tcPr>
            <w:tcW w:w="2386" w:type="dxa"/>
          </w:tcPr>
          <w:p w:rsidR="00181D9B" w:rsidRPr="003C18B5" w:rsidRDefault="009908BE" w:rsidP="005742D4">
            <w:pPr>
              <w:rPr>
                <w:rFonts w:ascii="Arial" w:hAnsi="Arial" w:cs="Arial"/>
              </w:rPr>
            </w:pPr>
            <w:r w:rsidRPr="003C18B5">
              <w:rPr>
                <w:rFonts w:ascii="Arial" w:hAnsi="Arial" w:cs="Arial"/>
              </w:rPr>
              <w:t>02-3070026</w:t>
            </w:r>
          </w:p>
        </w:tc>
        <w:tc>
          <w:tcPr>
            <w:tcW w:w="2386" w:type="dxa"/>
          </w:tcPr>
          <w:p w:rsidR="00181D9B" w:rsidRPr="003C18B5" w:rsidRDefault="00181D9B" w:rsidP="005742D4">
            <w:pPr>
              <w:rPr>
                <w:rFonts w:ascii="Arial" w:hAnsi="Arial" w:cs="Arial"/>
              </w:rPr>
            </w:pPr>
            <w:r w:rsidRPr="003C18B5">
              <w:rPr>
                <w:rFonts w:ascii="Arial" w:hAnsi="Arial" w:cs="Arial"/>
              </w:rPr>
              <w:t>Teléfono Móvil</w:t>
            </w:r>
          </w:p>
        </w:tc>
        <w:tc>
          <w:tcPr>
            <w:tcW w:w="2386" w:type="dxa"/>
          </w:tcPr>
          <w:p w:rsidR="00181D9B" w:rsidRPr="003C18B5" w:rsidRDefault="009908BE" w:rsidP="005742D4">
            <w:pPr>
              <w:rPr>
                <w:rFonts w:ascii="Arial" w:hAnsi="Arial" w:cs="Arial"/>
              </w:rPr>
            </w:pPr>
            <w:r w:rsidRPr="003C18B5">
              <w:rPr>
                <w:rFonts w:ascii="Arial" w:hAnsi="Arial" w:cs="Arial"/>
              </w:rPr>
              <w:t>0987733902</w:t>
            </w:r>
          </w:p>
        </w:tc>
      </w:tr>
      <w:tr w:rsidR="00181D9B" w:rsidRPr="003C18B5" w:rsidTr="005742D4">
        <w:tc>
          <w:tcPr>
            <w:tcW w:w="2386" w:type="dxa"/>
          </w:tcPr>
          <w:p w:rsidR="00181D9B" w:rsidRPr="003C18B5" w:rsidRDefault="00181D9B" w:rsidP="005742D4">
            <w:pPr>
              <w:rPr>
                <w:rFonts w:ascii="Arial" w:hAnsi="Arial" w:cs="Arial"/>
              </w:rPr>
            </w:pPr>
            <w:r w:rsidRPr="003C18B5">
              <w:rPr>
                <w:rFonts w:ascii="Arial" w:hAnsi="Arial" w:cs="Arial"/>
              </w:rPr>
              <w:t xml:space="preserve">Email Institucional </w:t>
            </w:r>
          </w:p>
        </w:tc>
        <w:tc>
          <w:tcPr>
            <w:tcW w:w="2386" w:type="dxa"/>
          </w:tcPr>
          <w:p w:rsidR="00181D9B" w:rsidRPr="003C18B5" w:rsidRDefault="00F32BEE" w:rsidP="005742D4">
            <w:pPr>
              <w:rPr>
                <w:rFonts w:ascii="Arial" w:hAnsi="Arial" w:cs="Arial"/>
              </w:rPr>
            </w:pPr>
            <w:hyperlink r:id="rId18" w:history="1">
              <w:r w:rsidR="005A15E0" w:rsidRPr="003C18B5">
                <w:rPr>
                  <w:rStyle w:val="Hipervnculo"/>
                  <w:rFonts w:ascii="Arial" w:hAnsi="Arial" w:cs="Arial"/>
                </w:rPr>
                <w:t>jsbarros@uce.edu.ec</w:t>
              </w:r>
            </w:hyperlink>
            <w:r w:rsidR="005A15E0" w:rsidRPr="003C18B5">
              <w:rPr>
                <w:rFonts w:ascii="Arial" w:hAnsi="Arial" w:cs="Arial"/>
              </w:rPr>
              <w:t xml:space="preserve"> </w:t>
            </w:r>
          </w:p>
        </w:tc>
        <w:tc>
          <w:tcPr>
            <w:tcW w:w="2386" w:type="dxa"/>
          </w:tcPr>
          <w:p w:rsidR="00181D9B" w:rsidRPr="003C18B5" w:rsidRDefault="00181D9B" w:rsidP="005742D4">
            <w:pPr>
              <w:rPr>
                <w:rFonts w:ascii="Arial" w:hAnsi="Arial" w:cs="Arial"/>
              </w:rPr>
            </w:pPr>
            <w:r w:rsidRPr="003C18B5">
              <w:rPr>
                <w:rFonts w:ascii="Arial" w:hAnsi="Arial" w:cs="Arial"/>
              </w:rPr>
              <w:t xml:space="preserve">Email Personal </w:t>
            </w:r>
          </w:p>
        </w:tc>
        <w:tc>
          <w:tcPr>
            <w:tcW w:w="2386" w:type="dxa"/>
          </w:tcPr>
          <w:p w:rsidR="00181D9B" w:rsidRPr="003C18B5" w:rsidRDefault="00F32BEE" w:rsidP="005742D4">
            <w:pPr>
              <w:rPr>
                <w:rFonts w:ascii="Arial" w:hAnsi="Arial" w:cs="Arial"/>
              </w:rPr>
            </w:pPr>
            <w:hyperlink r:id="rId19" w:history="1">
              <w:r w:rsidR="00936724" w:rsidRPr="003C18B5">
                <w:rPr>
                  <w:rStyle w:val="Hipervnculo"/>
                  <w:rFonts w:ascii="Arial" w:hAnsi="Arial" w:cs="Arial"/>
                </w:rPr>
                <w:t>jbslp_mh@hotmail.com</w:t>
              </w:r>
            </w:hyperlink>
            <w:r w:rsidR="00936724" w:rsidRPr="003C18B5">
              <w:rPr>
                <w:rFonts w:ascii="Arial" w:hAnsi="Arial" w:cs="Arial"/>
              </w:rPr>
              <w:t xml:space="preserve"> </w:t>
            </w:r>
          </w:p>
        </w:tc>
      </w:tr>
    </w:tbl>
    <w:p w:rsidR="00B668D0" w:rsidRPr="003C18B5" w:rsidRDefault="00B668D0" w:rsidP="00F635FC">
      <w:pPr>
        <w:rPr>
          <w:rFonts w:ascii="Arial" w:hAnsi="Arial" w:cs="Arial"/>
          <w:b/>
        </w:rPr>
      </w:pPr>
    </w:p>
    <w:tbl>
      <w:tblPr>
        <w:tblStyle w:val="Tablaconcuadrcula"/>
        <w:tblW w:w="0" w:type="auto"/>
        <w:tblLook w:val="04A0"/>
      </w:tblPr>
      <w:tblGrid>
        <w:gridCol w:w="2262"/>
        <w:gridCol w:w="2433"/>
        <w:gridCol w:w="2220"/>
        <w:gridCol w:w="2705"/>
      </w:tblGrid>
      <w:tr w:rsidR="00171A59" w:rsidRPr="003C18B5" w:rsidTr="00251EE6">
        <w:tc>
          <w:tcPr>
            <w:tcW w:w="9544" w:type="dxa"/>
            <w:gridSpan w:val="4"/>
            <w:shd w:val="clear" w:color="auto" w:fill="9CC2E5" w:themeFill="accent1" w:themeFillTint="99"/>
          </w:tcPr>
          <w:p w:rsidR="00171A59" w:rsidRPr="003C18B5" w:rsidRDefault="00171A59" w:rsidP="00251EE6">
            <w:pPr>
              <w:pStyle w:val="Sinespaciado"/>
              <w:rPr>
                <w:rFonts w:ascii="Arial" w:hAnsi="Arial" w:cs="Arial"/>
                <w:b/>
              </w:rPr>
            </w:pPr>
            <w:r w:rsidRPr="003C18B5">
              <w:rPr>
                <w:rFonts w:ascii="Arial" w:hAnsi="Arial" w:cs="Arial"/>
                <w:b/>
              </w:rPr>
              <w:t>ESTUDIANTES</w:t>
            </w:r>
          </w:p>
          <w:p w:rsidR="00171A59" w:rsidRPr="003C18B5" w:rsidRDefault="00171A59" w:rsidP="00251EE6">
            <w:pPr>
              <w:pStyle w:val="Sinespaciado"/>
              <w:rPr>
                <w:rFonts w:ascii="Arial" w:hAnsi="Arial" w:cs="Arial"/>
              </w:rPr>
            </w:pPr>
            <w:r w:rsidRPr="003C18B5">
              <w:rPr>
                <w:rFonts w:ascii="Arial" w:hAnsi="Arial" w:cs="Arial"/>
                <w:i/>
              </w:rPr>
              <w:t>Máximo tres  estudiantes  adjuntos con distinto tiempo de dedicación</w:t>
            </w:r>
          </w:p>
        </w:tc>
      </w:tr>
      <w:tr w:rsidR="00171A59" w:rsidRPr="003C18B5" w:rsidTr="00251EE6">
        <w:tc>
          <w:tcPr>
            <w:tcW w:w="2386" w:type="dxa"/>
          </w:tcPr>
          <w:p w:rsidR="00171A59" w:rsidRPr="003C18B5" w:rsidRDefault="00171A59" w:rsidP="00251EE6">
            <w:pPr>
              <w:rPr>
                <w:rFonts w:ascii="Arial" w:hAnsi="Arial" w:cs="Arial"/>
              </w:rPr>
            </w:pPr>
            <w:r w:rsidRPr="003C18B5">
              <w:rPr>
                <w:rFonts w:ascii="Arial" w:hAnsi="Arial" w:cs="Arial"/>
              </w:rPr>
              <w:t>Apellidos</w:t>
            </w:r>
          </w:p>
        </w:tc>
        <w:tc>
          <w:tcPr>
            <w:tcW w:w="2386" w:type="dxa"/>
          </w:tcPr>
          <w:p w:rsidR="00171A59" w:rsidRPr="003C18B5" w:rsidRDefault="00171A59" w:rsidP="00251EE6">
            <w:pPr>
              <w:rPr>
                <w:rFonts w:ascii="Arial" w:hAnsi="Arial" w:cs="Arial"/>
              </w:rPr>
            </w:pPr>
            <w:r w:rsidRPr="003C18B5">
              <w:rPr>
                <w:rFonts w:ascii="Arial" w:hAnsi="Arial" w:cs="Arial"/>
              </w:rPr>
              <w:t>T</w:t>
            </w:r>
            <w:r w:rsidR="00A439EF" w:rsidRPr="003C18B5">
              <w:rPr>
                <w:rFonts w:ascii="Arial" w:hAnsi="Arial" w:cs="Arial"/>
              </w:rPr>
              <w:t>orres</w:t>
            </w:r>
            <w:r w:rsidRPr="003C18B5">
              <w:rPr>
                <w:rFonts w:ascii="Arial" w:hAnsi="Arial" w:cs="Arial"/>
              </w:rPr>
              <w:t xml:space="preserve"> E</w:t>
            </w:r>
            <w:r w:rsidR="00A439EF" w:rsidRPr="003C18B5">
              <w:rPr>
                <w:rFonts w:ascii="Arial" w:hAnsi="Arial" w:cs="Arial"/>
              </w:rPr>
              <w:t>stupiñan</w:t>
            </w:r>
          </w:p>
        </w:tc>
        <w:tc>
          <w:tcPr>
            <w:tcW w:w="2386" w:type="dxa"/>
          </w:tcPr>
          <w:p w:rsidR="00171A59" w:rsidRPr="003C18B5" w:rsidRDefault="00171A59" w:rsidP="00251EE6">
            <w:pPr>
              <w:rPr>
                <w:rFonts w:ascii="Arial" w:hAnsi="Arial" w:cs="Arial"/>
              </w:rPr>
            </w:pPr>
            <w:r w:rsidRPr="003C18B5">
              <w:rPr>
                <w:rFonts w:ascii="Arial" w:hAnsi="Arial" w:cs="Arial"/>
              </w:rPr>
              <w:t>Nombres</w:t>
            </w:r>
          </w:p>
        </w:tc>
        <w:tc>
          <w:tcPr>
            <w:tcW w:w="2386" w:type="dxa"/>
          </w:tcPr>
          <w:p w:rsidR="00171A59" w:rsidRPr="007F5DAC" w:rsidRDefault="00171A59" w:rsidP="00251EE6">
            <w:pPr>
              <w:rPr>
                <w:rFonts w:ascii="Arial" w:hAnsi="Arial" w:cs="Arial"/>
              </w:rPr>
            </w:pPr>
            <w:r w:rsidRPr="007F5DAC">
              <w:rPr>
                <w:rFonts w:ascii="Arial" w:hAnsi="Arial" w:cs="Arial"/>
              </w:rPr>
              <w:t>C</w:t>
            </w:r>
            <w:r w:rsidR="00A439EF" w:rsidRPr="007F5DAC">
              <w:rPr>
                <w:rFonts w:ascii="Arial" w:hAnsi="Arial" w:cs="Arial"/>
              </w:rPr>
              <w:t>hristian</w:t>
            </w:r>
            <w:r w:rsidRPr="007F5DAC">
              <w:rPr>
                <w:rFonts w:ascii="Arial" w:hAnsi="Arial" w:cs="Arial"/>
              </w:rPr>
              <w:t xml:space="preserve"> A</w:t>
            </w:r>
            <w:r w:rsidR="00A439EF" w:rsidRPr="007F5DAC">
              <w:rPr>
                <w:rFonts w:ascii="Arial" w:hAnsi="Arial" w:cs="Arial"/>
              </w:rPr>
              <w:t>lexey</w:t>
            </w:r>
          </w:p>
        </w:tc>
      </w:tr>
      <w:tr w:rsidR="00171A59" w:rsidRPr="003C18B5" w:rsidTr="00251EE6">
        <w:tc>
          <w:tcPr>
            <w:tcW w:w="2386" w:type="dxa"/>
          </w:tcPr>
          <w:p w:rsidR="00171A59" w:rsidRPr="003C18B5" w:rsidRDefault="00171A59" w:rsidP="00251EE6">
            <w:pPr>
              <w:rPr>
                <w:rFonts w:ascii="Arial" w:hAnsi="Arial" w:cs="Arial"/>
              </w:rPr>
            </w:pPr>
            <w:r w:rsidRPr="003C18B5">
              <w:rPr>
                <w:rFonts w:ascii="Arial" w:hAnsi="Arial" w:cs="Arial"/>
              </w:rPr>
              <w:t xml:space="preserve">Tipo de Identificación </w:t>
            </w:r>
          </w:p>
        </w:tc>
        <w:sdt>
          <w:sdtPr>
            <w:rPr>
              <w:rFonts w:ascii="Arial" w:hAnsi="Arial" w:cs="Arial"/>
            </w:rPr>
            <w:id w:val="-1388100901"/>
            <w:placeholder>
              <w:docPart w:val="2AAFD4EA386444808CC6FD44AE3F18C1"/>
            </w:placeholder>
            <w:dropDownList>
              <w:listItem w:displayText="Cédula" w:value="Cédula"/>
              <w:listItem w:displayText="Pasaporte" w:value="Pasaporte"/>
            </w:dropDownList>
          </w:sdtPr>
          <w:sdtContent>
            <w:tc>
              <w:tcPr>
                <w:tcW w:w="2386" w:type="dxa"/>
              </w:tcPr>
              <w:p w:rsidR="00171A59" w:rsidRPr="003C18B5" w:rsidRDefault="00171A59" w:rsidP="00251EE6">
                <w:pPr>
                  <w:rPr>
                    <w:rFonts w:ascii="Arial" w:hAnsi="Arial" w:cs="Arial"/>
                  </w:rPr>
                </w:pPr>
                <w:r w:rsidRPr="003C18B5">
                  <w:rPr>
                    <w:rFonts w:ascii="Arial" w:hAnsi="Arial" w:cs="Arial"/>
                  </w:rPr>
                  <w:t>Cédula</w:t>
                </w:r>
              </w:p>
            </w:tc>
          </w:sdtContent>
        </w:sdt>
        <w:tc>
          <w:tcPr>
            <w:tcW w:w="2386" w:type="dxa"/>
          </w:tcPr>
          <w:p w:rsidR="00171A59" w:rsidRPr="003C18B5" w:rsidRDefault="00171A59" w:rsidP="00251EE6">
            <w:pPr>
              <w:rPr>
                <w:rFonts w:ascii="Arial" w:hAnsi="Arial" w:cs="Arial"/>
              </w:rPr>
            </w:pPr>
            <w:r w:rsidRPr="003C18B5">
              <w:rPr>
                <w:rFonts w:ascii="Arial" w:hAnsi="Arial" w:cs="Arial"/>
              </w:rPr>
              <w:t>Número de cedula / pasaporte</w:t>
            </w:r>
          </w:p>
        </w:tc>
        <w:tc>
          <w:tcPr>
            <w:tcW w:w="2386" w:type="dxa"/>
          </w:tcPr>
          <w:p w:rsidR="00171A59" w:rsidRPr="007F5DAC" w:rsidRDefault="00171A59" w:rsidP="00251EE6">
            <w:pPr>
              <w:rPr>
                <w:rFonts w:ascii="Arial" w:hAnsi="Arial" w:cs="Arial"/>
              </w:rPr>
            </w:pPr>
            <w:r w:rsidRPr="007F5DAC">
              <w:rPr>
                <w:rFonts w:ascii="Arial" w:hAnsi="Arial" w:cs="Arial"/>
              </w:rPr>
              <w:t>1715980544</w:t>
            </w:r>
          </w:p>
        </w:tc>
      </w:tr>
      <w:tr w:rsidR="00171A59" w:rsidRPr="003C18B5" w:rsidTr="00251EE6">
        <w:tc>
          <w:tcPr>
            <w:tcW w:w="2386" w:type="dxa"/>
          </w:tcPr>
          <w:p w:rsidR="00171A59" w:rsidRPr="003C18B5" w:rsidRDefault="00171A59" w:rsidP="00251EE6">
            <w:pPr>
              <w:jc w:val="left"/>
              <w:rPr>
                <w:rFonts w:ascii="Arial" w:hAnsi="Arial" w:cs="Arial"/>
              </w:rPr>
            </w:pPr>
            <w:r w:rsidRPr="003C18B5">
              <w:rPr>
                <w:rFonts w:ascii="Arial" w:hAnsi="Arial" w:cs="Arial"/>
              </w:rPr>
              <w:t xml:space="preserve">Nivel de Instrucción </w:t>
            </w:r>
          </w:p>
        </w:tc>
        <w:sdt>
          <w:sdtPr>
            <w:rPr>
              <w:rFonts w:ascii="Arial" w:hAnsi="Arial" w:cs="Arial"/>
            </w:rPr>
            <w:alias w:val="Seleccione"/>
            <w:tag w:val="Seleccione"/>
            <w:id w:val="643551307"/>
            <w:placeholder>
              <w:docPart w:val="2AAFD4EA386444808CC6FD44AE3F18C1"/>
            </w:placeholder>
            <w:dropDownList>
              <w:listItem w:displayText="Pregrado " w:value="Pregrado "/>
              <w:listItem w:displayText="Posgrado" w:value="Posgrado"/>
            </w:dropDownList>
          </w:sdtPr>
          <w:sdtContent>
            <w:tc>
              <w:tcPr>
                <w:tcW w:w="2386" w:type="dxa"/>
              </w:tcPr>
              <w:p w:rsidR="00171A59" w:rsidRPr="003C18B5" w:rsidRDefault="00171A59" w:rsidP="00251EE6">
                <w:pPr>
                  <w:rPr>
                    <w:rFonts w:ascii="Arial" w:hAnsi="Arial" w:cs="Arial"/>
                  </w:rPr>
                </w:pPr>
                <w:r w:rsidRPr="003C18B5">
                  <w:rPr>
                    <w:rFonts w:ascii="Arial" w:hAnsi="Arial" w:cs="Arial"/>
                  </w:rPr>
                  <w:t xml:space="preserve">Pregrado </w:t>
                </w:r>
              </w:p>
            </w:tc>
          </w:sdtContent>
        </w:sdt>
        <w:tc>
          <w:tcPr>
            <w:tcW w:w="2386" w:type="dxa"/>
          </w:tcPr>
          <w:p w:rsidR="00171A59" w:rsidRPr="003C18B5" w:rsidRDefault="00171A59" w:rsidP="00251EE6">
            <w:pPr>
              <w:rPr>
                <w:rFonts w:ascii="Arial" w:hAnsi="Arial" w:cs="Arial"/>
              </w:rPr>
            </w:pPr>
            <w:r w:rsidRPr="003C18B5">
              <w:rPr>
                <w:rFonts w:ascii="Arial" w:hAnsi="Arial" w:cs="Arial"/>
              </w:rPr>
              <w:t>Facultad</w:t>
            </w:r>
          </w:p>
        </w:tc>
        <w:tc>
          <w:tcPr>
            <w:tcW w:w="2386" w:type="dxa"/>
          </w:tcPr>
          <w:p w:rsidR="00171A59" w:rsidRPr="007F5DAC" w:rsidRDefault="00171A59" w:rsidP="00251EE6">
            <w:pPr>
              <w:rPr>
                <w:rFonts w:ascii="Arial" w:hAnsi="Arial" w:cs="Arial"/>
              </w:rPr>
            </w:pPr>
            <w:r w:rsidRPr="007F5DAC">
              <w:rPr>
                <w:rFonts w:ascii="Arial" w:hAnsi="Arial" w:cs="Arial"/>
              </w:rPr>
              <w:t>FIGEMPA</w:t>
            </w:r>
          </w:p>
        </w:tc>
      </w:tr>
      <w:tr w:rsidR="00171A59" w:rsidRPr="003C18B5" w:rsidTr="00251EE6">
        <w:tc>
          <w:tcPr>
            <w:tcW w:w="2386" w:type="dxa"/>
          </w:tcPr>
          <w:p w:rsidR="00171A59" w:rsidRPr="003C18B5" w:rsidRDefault="00171A59" w:rsidP="00251EE6">
            <w:pPr>
              <w:jc w:val="left"/>
              <w:rPr>
                <w:rFonts w:ascii="Arial" w:hAnsi="Arial" w:cs="Arial"/>
              </w:rPr>
            </w:pPr>
            <w:r w:rsidRPr="003C18B5">
              <w:rPr>
                <w:rFonts w:ascii="Arial" w:hAnsi="Arial" w:cs="Arial"/>
              </w:rPr>
              <w:t>Programa de Posgrado</w:t>
            </w:r>
          </w:p>
        </w:tc>
        <w:tc>
          <w:tcPr>
            <w:tcW w:w="2386" w:type="dxa"/>
          </w:tcPr>
          <w:p w:rsidR="00171A59" w:rsidRPr="003C18B5" w:rsidRDefault="00171A59" w:rsidP="00251EE6">
            <w:pPr>
              <w:tabs>
                <w:tab w:val="right" w:pos="2170"/>
              </w:tabs>
              <w:rPr>
                <w:rFonts w:ascii="Arial" w:hAnsi="Arial" w:cs="Arial"/>
              </w:rPr>
            </w:pPr>
          </w:p>
        </w:tc>
        <w:tc>
          <w:tcPr>
            <w:tcW w:w="2386" w:type="dxa"/>
          </w:tcPr>
          <w:p w:rsidR="00171A59" w:rsidRPr="003C18B5" w:rsidRDefault="00171A59" w:rsidP="00251EE6">
            <w:pPr>
              <w:rPr>
                <w:rFonts w:ascii="Arial" w:hAnsi="Arial" w:cs="Arial"/>
              </w:rPr>
            </w:pPr>
            <w:r w:rsidRPr="003C18B5">
              <w:rPr>
                <w:rFonts w:ascii="Arial" w:hAnsi="Arial" w:cs="Arial"/>
              </w:rPr>
              <w:t>Carrera</w:t>
            </w:r>
          </w:p>
        </w:tc>
        <w:tc>
          <w:tcPr>
            <w:tcW w:w="2386" w:type="dxa"/>
          </w:tcPr>
          <w:p w:rsidR="00171A59" w:rsidRPr="007F5DAC" w:rsidRDefault="00EC52C8" w:rsidP="00251EE6">
            <w:pPr>
              <w:rPr>
                <w:rFonts w:ascii="Arial" w:hAnsi="Arial" w:cs="Arial"/>
              </w:rPr>
            </w:pPr>
            <w:r w:rsidRPr="007F5DAC">
              <w:rPr>
                <w:rFonts w:ascii="Arial" w:hAnsi="Arial" w:cs="Arial"/>
              </w:rPr>
              <w:t>Ingeniería</w:t>
            </w:r>
            <w:r w:rsidR="00171A59" w:rsidRPr="007F5DAC">
              <w:rPr>
                <w:rFonts w:ascii="Arial" w:hAnsi="Arial" w:cs="Arial"/>
              </w:rPr>
              <w:t xml:space="preserve"> A</w:t>
            </w:r>
            <w:r w:rsidRPr="007F5DAC">
              <w:rPr>
                <w:rFonts w:ascii="Arial" w:hAnsi="Arial" w:cs="Arial"/>
              </w:rPr>
              <w:t>mbiental</w:t>
            </w:r>
          </w:p>
        </w:tc>
      </w:tr>
      <w:tr w:rsidR="00171A59" w:rsidRPr="003C18B5" w:rsidTr="00251EE6">
        <w:tc>
          <w:tcPr>
            <w:tcW w:w="2386" w:type="dxa"/>
          </w:tcPr>
          <w:p w:rsidR="00171A59" w:rsidRPr="003C18B5" w:rsidRDefault="00171A59" w:rsidP="00251EE6">
            <w:pPr>
              <w:rPr>
                <w:rFonts w:ascii="Arial" w:hAnsi="Arial" w:cs="Arial"/>
              </w:rPr>
            </w:pPr>
            <w:r w:rsidRPr="003C18B5">
              <w:rPr>
                <w:rFonts w:ascii="Arial" w:hAnsi="Arial" w:cs="Arial"/>
              </w:rPr>
              <w:t>Semestre / Nivel</w:t>
            </w:r>
          </w:p>
        </w:tc>
        <w:tc>
          <w:tcPr>
            <w:tcW w:w="2386" w:type="dxa"/>
          </w:tcPr>
          <w:p w:rsidR="00171A59" w:rsidRPr="003C18B5" w:rsidRDefault="00171A59" w:rsidP="00251EE6">
            <w:pPr>
              <w:rPr>
                <w:rFonts w:ascii="Arial" w:hAnsi="Arial" w:cs="Arial"/>
              </w:rPr>
            </w:pPr>
            <w:r w:rsidRPr="003C18B5">
              <w:rPr>
                <w:rFonts w:ascii="Arial" w:hAnsi="Arial" w:cs="Arial"/>
              </w:rPr>
              <w:t>QUINTO</w:t>
            </w:r>
          </w:p>
        </w:tc>
        <w:tc>
          <w:tcPr>
            <w:tcW w:w="2386" w:type="dxa"/>
          </w:tcPr>
          <w:p w:rsidR="00171A59" w:rsidRPr="003C18B5" w:rsidRDefault="00171A59" w:rsidP="00251EE6">
            <w:pPr>
              <w:rPr>
                <w:rFonts w:ascii="Arial" w:hAnsi="Arial" w:cs="Arial"/>
              </w:rPr>
            </w:pPr>
          </w:p>
        </w:tc>
        <w:tc>
          <w:tcPr>
            <w:tcW w:w="2386" w:type="dxa"/>
          </w:tcPr>
          <w:p w:rsidR="00171A59" w:rsidRPr="007F5DAC" w:rsidRDefault="00171A59" w:rsidP="00251EE6">
            <w:pPr>
              <w:rPr>
                <w:rFonts w:ascii="Arial" w:hAnsi="Arial" w:cs="Arial"/>
              </w:rPr>
            </w:pPr>
          </w:p>
        </w:tc>
      </w:tr>
      <w:tr w:rsidR="00171A59" w:rsidRPr="003C18B5" w:rsidTr="00251EE6">
        <w:tc>
          <w:tcPr>
            <w:tcW w:w="2386" w:type="dxa"/>
          </w:tcPr>
          <w:p w:rsidR="00171A59" w:rsidRPr="003C18B5" w:rsidRDefault="00171A59" w:rsidP="00251EE6">
            <w:pPr>
              <w:rPr>
                <w:rFonts w:ascii="Arial" w:hAnsi="Arial" w:cs="Arial"/>
              </w:rPr>
            </w:pPr>
            <w:r w:rsidRPr="003C18B5">
              <w:rPr>
                <w:rFonts w:ascii="Arial" w:hAnsi="Arial" w:cs="Arial"/>
              </w:rPr>
              <w:t>Teléfono Fijo</w:t>
            </w:r>
          </w:p>
        </w:tc>
        <w:tc>
          <w:tcPr>
            <w:tcW w:w="2386" w:type="dxa"/>
          </w:tcPr>
          <w:p w:rsidR="00171A59" w:rsidRPr="003C18B5" w:rsidRDefault="00171A59" w:rsidP="00251EE6">
            <w:pPr>
              <w:rPr>
                <w:rFonts w:ascii="Arial" w:hAnsi="Arial" w:cs="Arial"/>
              </w:rPr>
            </w:pPr>
            <w:r w:rsidRPr="003C18B5">
              <w:rPr>
                <w:rFonts w:ascii="Arial" w:hAnsi="Arial" w:cs="Arial"/>
              </w:rPr>
              <w:t>3093079</w:t>
            </w:r>
          </w:p>
        </w:tc>
        <w:tc>
          <w:tcPr>
            <w:tcW w:w="2386" w:type="dxa"/>
          </w:tcPr>
          <w:p w:rsidR="00171A59" w:rsidRPr="003C18B5" w:rsidRDefault="00171A59" w:rsidP="00251EE6">
            <w:pPr>
              <w:rPr>
                <w:rFonts w:ascii="Arial" w:hAnsi="Arial" w:cs="Arial"/>
              </w:rPr>
            </w:pPr>
            <w:r w:rsidRPr="003C18B5">
              <w:rPr>
                <w:rFonts w:ascii="Arial" w:hAnsi="Arial" w:cs="Arial"/>
              </w:rPr>
              <w:t>Teléfono Móvil</w:t>
            </w:r>
          </w:p>
        </w:tc>
        <w:tc>
          <w:tcPr>
            <w:tcW w:w="2386" w:type="dxa"/>
          </w:tcPr>
          <w:p w:rsidR="00171A59" w:rsidRPr="007F5DAC" w:rsidRDefault="00171A59" w:rsidP="00251EE6">
            <w:pPr>
              <w:rPr>
                <w:rFonts w:ascii="Arial" w:hAnsi="Arial" w:cs="Arial"/>
              </w:rPr>
            </w:pPr>
            <w:r w:rsidRPr="007F5DAC">
              <w:rPr>
                <w:rFonts w:ascii="Arial" w:hAnsi="Arial" w:cs="Arial"/>
              </w:rPr>
              <w:t>0960539818</w:t>
            </w:r>
          </w:p>
        </w:tc>
      </w:tr>
      <w:tr w:rsidR="00171A59" w:rsidRPr="003C18B5" w:rsidTr="00251EE6">
        <w:tc>
          <w:tcPr>
            <w:tcW w:w="2386" w:type="dxa"/>
          </w:tcPr>
          <w:p w:rsidR="00171A59" w:rsidRPr="003C18B5" w:rsidRDefault="00171A59" w:rsidP="00251EE6">
            <w:pPr>
              <w:rPr>
                <w:rFonts w:ascii="Arial" w:hAnsi="Arial" w:cs="Arial"/>
              </w:rPr>
            </w:pPr>
            <w:r w:rsidRPr="003C18B5">
              <w:rPr>
                <w:rFonts w:ascii="Arial" w:hAnsi="Arial" w:cs="Arial"/>
              </w:rPr>
              <w:t xml:space="preserve">Email Institucional </w:t>
            </w:r>
          </w:p>
        </w:tc>
        <w:tc>
          <w:tcPr>
            <w:tcW w:w="2386" w:type="dxa"/>
          </w:tcPr>
          <w:p w:rsidR="00171A59" w:rsidRPr="003C18B5" w:rsidRDefault="00171A59" w:rsidP="00251EE6">
            <w:pPr>
              <w:rPr>
                <w:rFonts w:ascii="Arial" w:hAnsi="Arial" w:cs="Arial"/>
              </w:rPr>
            </w:pPr>
            <w:hyperlink r:id="rId20" w:history="1">
              <w:r w:rsidRPr="003C18B5">
                <w:rPr>
                  <w:rStyle w:val="Hipervnculo"/>
                  <w:rFonts w:ascii="Arial" w:hAnsi="Arial" w:cs="Arial"/>
                </w:rPr>
                <w:t>catorrese@uce.edu.ec</w:t>
              </w:r>
            </w:hyperlink>
          </w:p>
        </w:tc>
        <w:tc>
          <w:tcPr>
            <w:tcW w:w="2386" w:type="dxa"/>
          </w:tcPr>
          <w:p w:rsidR="00171A59" w:rsidRPr="003C18B5" w:rsidRDefault="00171A59" w:rsidP="00251EE6">
            <w:pPr>
              <w:rPr>
                <w:rFonts w:ascii="Arial" w:hAnsi="Arial" w:cs="Arial"/>
              </w:rPr>
            </w:pPr>
            <w:r w:rsidRPr="003C18B5">
              <w:rPr>
                <w:rFonts w:ascii="Arial" w:hAnsi="Arial" w:cs="Arial"/>
              </w:rPr>
              <w:t xml:space="preserve">Email Personal </w:t>
            </w:r>
          </w:p>
        </w:tc>
        <w:tc>
          <w:tcPr>
            <w:tcW w:w="2386" w:type="dxa"/>
          </w:tcPr>
          <w:p w:rsidR="00171A59" w:rsidRPr="003C18B5" w:rsidRDefault="00171A59" w:rsidP="00251EE6">
            <w:pPr>
              <w:rPr>
                <w:rFonts w:ascii="Arial" w:hAnsi="Arial" w:cs="Arial"/>
                <w:b/>
              </w:rPr>
            </w:pPr>
            <w:hyperlink r:id="rId21" w:history="1">
              <w:r w:rsidRPr="003C18B5">
                <w:rPr>
                  <w:rStyle w:val="Hipervnculo"/>
                  <w:rFonts w:ascii="Arial" w:hAnsi="Arial" w:cs="Arial"/>
                  <w:b/>
                </w:rPr>
                <w:t>cat_quito@hotmail.com</w:t>
              </w:r>
            </w:hyperlink>
            <w:r w:rsidRPr="003C18B5">
              <w:rPr>
                <w:rFonts w:ascii="Arial" w:hAnsi="Arial" w:cs="Arial"/>
                <w:b/>
              </w:rPr>
              <w:t xml:space="preserve"> </w:t>
            </w:r>
          </w:p>
        </w:tc>
      </w:tr>
    </w:tbl>
    <w:p w:rsidR="00171A59" w:rsidRPr="003C18B5" w:rsidRDefault="00171A59" w:rsidP="00F635FC">
      <w:pPr>
        <w:rPr>
          <w:rFonts w:ascii="Arial" w:hAnsi="Arial" w:cs="Arial"/>
          <w:b/>
        </w:rPr>
      </w:pPr>
    </w:p>
    <w:tbl>
      <w:tblPr>
        <w:tblStyle w:val="Tablaconcuadrcula"/>
        <w:tblW w:w="0" w:type="auto"/>
        <w:tblLook w:val="04A0"/>
      </w:tblPr>
      <w:tblGrid>
        <w:gridCol w:w="2386"/>
        <w:gridCol w:w="2386"/>
        <w:gridCol w:w="2386"/>
        <w:gridCol w:w="2386"/>
      </w:tblGrid>
      <w:tr w:rsidR="00614222" w:rsidRPr="003C18B5" w:rsidTr="002048FF">
        <w:tc>
          <w:tcPr>
            <w:tcW w:w="9544" w:type="dxa"/>
            <w:gridSpan w:val="4"/>
            <w:shd w:val="clear" w:color="auto" w:fill="9CC2E5" w:themeFill="accent1" w:themeFillTint="99"/>
          </w:tcPr>
          <w:p w:rsidR="00614222" w:rsidRPr="003C18B5" w:rsidRDefault="00614222" w:rsidP="005742D4">
            <w:pPr>
              <w:pStyle w:val="Sinespaciado"/>
              <w:rPr>
                <w:rFonts w:ascii="Arial" w:hAnsi="Arial" w:cs="Arial"/>
                <w:b/>
              </w:rPr>
            </w:pPr>
            <w:r w:rsidRPr="003C18B5">
              <w:rPr>
                <w:rFonts w:ascii="Arial" w:hAnsi="Arial" w:cs="Arial"/>
                <w:b/>
              </w:rPr>
              <w:t>ESTUDIANTES</w:t>
            </w:r>
          </w:p>
          <w:p w:rsidR="00614222" w:rsidRPr="003C18B5" w:rsidRDefault="00614222" w:rsidP="005742D4">
            <w:pPr>
              <w:pStyle w:val="Sinespaciado"/>
              <w:rPr>
                <w:rFonts w:ascii="Arial" w:hAnsi="Arial" w:cs="Arial"/>
              </w:rPr>
            </w:pPr>
            <w:r w:rsidRPr="003C18B5">
              <w:rPr>
                <w:rFonts w:ascii="Arial" w:hAnsi="Arial" w:cs="Arial"/>
                <w:i/>
              </w:rPr>
              <w:t>Máximo tres  estudiantes  adjuntos con distinto tiempo de dedicación</w:t>
            </w:r>
          </w:p>
        </w:tc>
      </w:tr>
      <w:tr w:rsidR="00614222" w:rsidRPr="003C18B5" w:rsidTr="005742D4">
        <w:tc>
          <w:tcPr>
            <w:tcW w:w="2386" w:type="dxa"/>
          </w:tcPr>
          <w:p w:rsidR="00614222" w:rsidRPr="003C18B5" w:rsidRDefault="00614222" w:rsidP="005742D4">
            <w:pPr>
              <w:rPr>
                <w:rFonts w:ascii="Arial" w:hAnsi="Arial" w:cs="Arial"/>
              </w:rPr>
            </w:pPr>
            <w:r w:rsidRPr="003C18B5">
              <w:rPr>
                <w:rFonts w:ascii="Arial" w:hAnsi="Arial" w:cs="Arial"/>
              </w:rPr>
              <w:t>Apellidos</w:t>
            </w:r>
          </w:p>
        </w:tc>
        <w:tc>
          <w:tcPr>
            <w:tcW w:w="2386" w:type="dxa"/>
          </w:tcPr>
          <w:p w:rsidR="00614222" w:rsidRPr="003C18B5" w:rsidRDefault="00171A59" w:rsidP="005742D4">
            <w:pPr>
              <w:rPr>
                <w:rFonts w:ascii="Arial" w:hAnsi="Arial" w:cs="Arial"/>
              </w:rPr>
            </w:pPr>
            <w:r w:rsidRPr="003C18B5">
              <w:rPr>
                <w:rFonts w:ascii="Arial" w:hAnsi="Arial" w:cs="Arial"/>
              </w:rPr>
              <w:t>Por definir</w:t>
            </w:r>
          </w:p>
        </w:tc>
        <w:tc>
          <w:tcPr>
            <w:tcW w:w="2386" w:type="dxa"/>
          </w:tcPr>
          <w:p w:rsidR="00614222" w:rsidRPr="003C18B5" w:rsidRDefault="00614222" w:rsidP="005742D4">
            <w:pPr>
              <w:rPr>
                <w:rFonts w:ascii="Arial" w:hAnsi="Arial" w:cs="Arial"/>
              </w:rPr>
            </w:pPr>
            <w:r w:rsidRPr="003C18B5">
              <w:rPr>
                <w:rFonts w:ascii="Arial" w:hAnsi="Arial" w:cs="Arial"/>
              </w:rPr>
              <w:t>Nombres</w:t>
            </w:r>
          </w:p>
        </w:tc>
        <w:tc>
          <w:tcPr>
            <w:tcW w:w="2386" w:type="dxa"/>
          </w:tcPr>
          <w:p w:rsidR="00614222" w:rsidRPr="003C18B5" w:rsidRDefault="00171A59" w:rsidP="005742D4">
            <w:pPr>
              <w:rPr>
                <w:rFonts w:ascii="Arial" w:hAnsi="Arial" w:cs="Arial"/>
                <w:b/>
              </w:rPr>
            </w:pPr>
            <w:r w:rsidRPr="003C18B5">
              <w:rPr>
                <w:rFonts w:ascii="Arial" w:hAnsi="Arial" w:cs="Arial"/>
              </w:rPr>
              <w:t>Por definir</w:t>
            </w:r>
          </w:p>
        </w:tc>
      </w:tr>
      <w:tr w:rsidR="00614222" w:rsidRPr="003C18B5" w:rsidTr="005742D4">
        <w:tc>
          <w:tcPr>
            <w:tcW w:w="2386" w:type="dxa"/>
          </w:tcPr>
          <w:p w:rsidR="00614222" w:rsidRPr="003C18B5" w:rsidRDefault="00614222" w:rsidP="005742D4">
            <w:pPr>
              <w:rPr>
                <w:rFonts w:ascii="Arial" w:hAnsi="Arial" w:cs="Arial"/>
              </w:rPr>
            </w:pPr>
            <w:r w:rsidRPr="003C18B5">
              <w:rPr>
                <w:rFonts w:ascii="Arial" w:hAnsi="Arial" w:cs="Arial"/>
              </w:rPr>
              <w:t xml:space="preserve">Tipo de Identificación </w:t>
            </w:r>
          </w:p>
        </w:tc>
        <w:sdt>
          <w:sdtPr>
            <w:rPr>
              <w:rFonts w:ascii="Arial" w:hAnsi="Arial" w:cs="Arial"/>
            </w:rPr>
            <w:id w:val="-1853090179"/>
            <w:placeholder>
              <w:docPart w:val="E7523136EDE5424F98B578D8D3034D31"/>
            </w:placeholder>
            <w:showingPlcHdr/>
            <w:dropDownList>
              <w:listItem w:displayText="Cédula" w:value="Cédula"/>
              <w:listItem w:displayText="Pasaporte" w:value="Pasaporte"/>
            </w:dropDownList>
          </w:sdtPr>
          <w:sdtContent>
            <w:tc>
              <w:tcPr>
                <w:tcW w:w="2386" w:type="dxa"/>
              </w:tcPr>
              <w:p w:rsidR="00614222" w:rsidRPr="003C18B5" w:rsidRDefault="00614222" w:rsidP="005742D4">
                <w:pPr>
                  <w:rPr>
                    <w:rFonts w:ascii="Arial" w:hAnsi="Arial" w:cs="Arial"/>
                  </w:rPr>
                </w:pPr>
                <w:r w:rsidRPr="003C18B5">
                  <w:rPr>
                    <w:rStyle w:val="Textodelmarcadordeposicin"/>
                    <w:rFonts w:ascii="Arial" w:hAnsi="Arial" w:cs="Arial"/>
                  </w:rPr>
                  <w:t>Elija un elemento.</w:t>
                </w:r>
              </w:p>
            </w:tc>
          </w:sdtContent>
        </w:sdt>
        <w:tc>
          <w:tcPr>
            <w:tcW w:w="2386" w:type="dxa"/>
          </w:tcPr>
          <w:p w:rsidR="00614222" w:rsidRPr="003C18B5" w:rsidRDefault="00614222" w:rsidP="005742D4">
            <w:pPr>
              <w:rPr>
                <w:rFonts w:ascii="Arial" w:hAnsi="Arial" w:cs="Arial"/>
              </w:rPr>
            </w:pPr>
            <w:r w:rsidRPr="003C18B5">
              <w:rPr>
                <w:rFonts w:ascii="Arial" w:hAnsi="Arial" w:cs="Arial"/>
              </w:rPr>
              <w:t>Número de cedula / pasaporte</w:t>
            </w:r>
          </w:p>
        </w:tc>
        <w:tc>
          <w:tcPr>
            <w:tcW w:w="2386" w:type="dxa"/>
          </w:tcPr>
          <w:p w:rsidR="00614222" w:rsidRPr="003C18B5" w:rsidRDefault="00614222" w:rsidP="005742D4">
            <w:pPr>
              <w:rPr>
                <w:rFonts w:ascii="Arial" w:hAnsi="Arial" w:cs="Arial"/>
                <w:b/>
              </w:rPr>
            </w:pPr>
          </w:p>
        </w:tc>
      </w:tr>
      <w:tr w:rsidR="00614222" w:rsidRPr="003C18B5" w:rsidTr="005742D4">
        <w:tc>
          <w:tcPr>
            <w:tcW w:w="2386" w:type="dxa"/>
          </w:tcPr>
          <w:p w:rsidR="00614222" w:rsidRPr="003C18B5" w:rsidRDefault="00614222" w:rsidP="005742D4">
            <w:pPr>
              <w:rPr>
                <w:rFonts w:ascii="Arial" w:hAnsi="Arial" w:cs="Arial"/>
              </w:rPr>
            </w:pPr>
            <w:r w:rsidRPr="003C18B5">
              <w:rPr>
                <w:rFonts w:ascii="Arial" w:hAnsi="Arial" w:cs="Arial"/>
              </w:rPr>
              <w:t xml:space="preserve">Nivel de Instrucción </w:t>
            </w:r>
          </w:p>
        </w:tc>
        <w:sdt>
          <w:sdtPr>
            <w:rPr>
              <w:rFonts w:ascii="Arial" w:hAnsi="Arial" w:cs="Arial"/>
            </w:rPr>
            <w:alias w:val="Seleccione"/>
            <w:tag w:val="Seleccione"/>
            <w:id w:val="228578756"/>
            <w:placeholder>
              <w:docPart w:val="E7523136EDE5424F98B578D8D3034D31"/>
            </w:placeholder>
            <w:showingPlcHdr/>
            <w:dropDownList>
              <w:listItem w:displayText="Pregrado " w:value="Pregrado "/>
              <w:listItem w:displayText="Posgrado" w:value="Posgrado"/>
            </w:dropDownList>
          </w:sdtPr>
          <w:sdtContent>
            <w:tc>
              <w:tcPr>
                <w:tcW w:w="2386" w:type="dxa"/>
              </w:tcPr>
              <w:p w:rsidR="00614222" w:rsidRPr="003C18B5" w:rsidRDefault="00614222" w:rsidP="005742D4">
                <w:pPr>
                  <w:rPr>
                    <w:rFonts w:ascii="Arial" w:hAnsi="Arial" w:cs="Arial"/>
                  </w:rPr>
                </w:pPr>
                <w:r w:rsidRPr="003C18B5">
                  <w:rPr>
                    <w:rStyle w:val="Textodelmarcadordeposicin"/>
                    <w:rFonts w:ascii="Arial" w:hAnsi="Arial" w:cs="Arial"/>
                  </w:rPr>
                  <w:t>Elija un elemento.</w:t>
                </w:r>
              </w:p>
            </w:tc>
          </w:sdtContent>
        </w:sdt>
        <w:tc>
          <w:tcPr>
            <w:tcW w:w="2386" w:type="dxa"/>
          </w:tcPr>
          <w:p w:rsidR="00614222" w:rsidRPr="003C18B5" w:rsidRDefault="00614222" w:rsidP="005742D4">
            <w:pPr>
              <w:rPr>
                <w:rFonts w:ascii="Arial" w:hAnsi="Arial" w:cs="Arial"/>
              </w:rPr>
            </w:pPr>
            <w:r w:rsidRPr="003C18B5">
              <w:rPr>
                <w:rFonts w:ascii="Arial" w:hAnsi="Arial" w:cs="Arial"/>
              </w:rPr>
              <w:t>Facultad</w:t>
            </w:r>
          </w:p>
        </w:tc>
        <w:tc>
          <w:tcPr>
            <w:tcW w:w="2386" w:type="dxa"/>
          </w:tcPr>
          <w:p w:rsidR="00614222" w:rsidRPr="00952FB6" w:rsidRDefault="00171A59" w:rsidP="005742D4">
            <w:pPr>
              <w:rPr>
                <w:rFonts w:ascii="Arial" w:hAnsi="Arial" w:cs="Arial"/>
              </w:rPr>
            </w:pPr>
            <w:r w:rsidRPr="00952FB6">
              <w:rPr>
                <w:rFonts w:ascii="Arial" w:hAnsi="Arial" w:cs="Arial"/>
              </w:rPr>
              <w:t>Ciencias Biológicas</w:t>
            </w:r>
          </w:p>
        </w:tc>
      </w:tr>
      <w:tr w:rsidR="00614222" w:rsidRPr="003C18B5" w:rsidTr="005742D4">
        <w:tc>
          <w:tcPr>
            <w:tcW w:w="2386" w:type="dxa"/>
          </w:tcPr>
          <w:p w:rsidR="00614222" w:rsidRPr="003C18B5" w:rsidRDefault="00614222" w:rsidP="006D2491">
            <w:pPr>
              <w:jc w:val="left"/>
              <w:rPr>
                <w:rFonts w:ascii="Arial" w:hAnsi="Arial" w:cs="Arial"/>
              </w:rPr>
            </w:pPr>
            <w:r w:rsidRPr="003C18B5">
              <w:rPr>
                <w:rFonts w:ascii="Arial" w:hAnsi="Arial" w:cs="Arial"/>
              </w:rPr>
              <w:t>Programa de Posgrado</w:t>
            </w:r>
          </w:p>
        </w:tc>
        <w:tc>
          <w:tcPr>
            <w:tcW w:w="2386" w:type="dxa"/>
          </w:tcPr>
          <w:p w:rsidR="00614222" w:rsidRPr="003C18B5" w:rsidRDefault="00614222" w:rsidP="005742D4">
            <w:pPr>
              <w:tabs>
                <w:tab w:val="right" w:pos="2170"/>
              </w:tabs>
              <w:rPr>
                <w:rFonts w:ascii="Arial" w:hAnsi="Arial" w:cs="Arial"/>
              </w:rPr>
            </w:pPr>
          </w:p>
        </w:tc>
        <w:tc>
          <w:tcPr>
            <w:tcW w:w="2386" w:type="dxa"/>
          </w:tcPr>
          <w:p w:rsidR="00614222" w:rsidRPr="003C18B5" w:rsidRDefault="00614222" w:rsidP="005742D4">
            <w:pPr>
              <w:rPr>
                <w:rFonts w:ascii="Arial" w:hAnsi="Arial" w:cs="Arial"/>
              </w:rPr>
            </w:pPr>
            <w:r w:rsidRPr="003C18B5">
              <w:rPr>
                <w:rFonts w:ascii="Arial" w:hAnsi="Arial" w:cs="Arial"/>
              </w:rPr>
              <w:t>Carrera</w:t>
            </w:r>
          </w:p>
        </w:tc>
        <w:tc>
          <w:tcPr>
            <w:tcW w:w="2386" w:type="dxa"/>
          </w:tcPr>
          <w:p w:rsidR="00614222" w:rsidRPr="003C18B5" w:rsidRDefault="00614222" w:rsidP="005742D4">
            <w:pPr>
              <w:rPr>
                <w:rFonts w:ascii="Arial" w:hAnsi="Arial" w:cs="Arial"/>
                <w:b/>
              </w:rPr>
            </w:pPr>
          </w:p>
        </w:tc>
      </w:tr>
      <w:tr w:rsidR="00614222" w:rsidRPr="003C18B5" w:rsidTr="005742D4">
        <w:tc>
          <w:tcPr>
            <w:tcW w:w="2386" w:type="dxa"/>
          </w:tcPr>
          <w:p w:rsidR="00614222" w:rsidRPr="003C18B5" w:rsidRDefault="00614222" w:rsidP="005742D4">
            <w:pPr>
              <w:rPr>
                <w:rFonts w:ascii="Arial" w:hAnsi="Arial" w:cs="Arial"/>
              </w:rPr>
            </w:pPr>
            <w:r w:rsidRPr="003C18B5">
              <w:rPr>
                <w:rFonts w:ascii="Arial" w:hAnsi="Arial" w:cs="Arial"/>
              </w:rPr>
              <w:lastRenderedPageBreak/>
              <w:t>Semestre / Nivel</w:t>
            </w:r>
          </w:p>
        </w:tc>
        <w:tc>
          <w:tcPr>
            <w:tcW w:w="2386" w:type="dxa"/>
          </w:tcPr>
          <w:p w:rsidR="00614222" w:rsidRPr="003C18B5" w:rsidRDefault="00614222" w:rsidP="005742D4">
            <w:pPr>
              <w:rPr>
                <w:rFonts w:ascii="Arial" w:hAnsi="Arial" w:cs="Arial"/>
              </w:rPr>
            </w:pPr>
          </w:p>
        </w:tc>
        <w:tc>
          <w:tcPr>
            <w:tcW w:w="2386" w:type="dxa"/>
          </w:tcPr>
          <w:p w:rsidR="00614222" w:rsidRPr="003C18B5" w:rsidRDefault="00614222" w:rsidP="005742D4">
            <w:pPr>
              <w:rPr>
                <w:rFonts w:ascii="Arial" w:hAnsi="Arial" w:cs="Arial"/>
              </w:rPr>
            </w:pPr>
          </w:p>
        </w:tc>
        <w:tc>
          <w:tcPr>
            <w:tcW w:w="2386" w:type="dxa"/>
          </w:tcPr>
          <w:p w:rsidR="00614222" w:rsidRPr="003C18B5" w:rsidRDefault="00614222" w:rsidP="005742D4">
            <w:pPr>
              <w:rPr>
                <w:rFonts w:ascii="Arial" w:hAnsi="Arial" w:cs="Arial"/>
                <w:b/>
              </w:rPr>
            </w:pPr>
          </w:p>
        </w:tc>
      </w:tr>
      <w:tr w:rsidR="00614222" w:rsidRPr="003C18B5" w:rsidTr="005742D4">
        <w:tc>
          <w:tcPr>
            <w:tcW w:w="2386" w:type="dxa"/>
          </w:tcPr>
          <w:p w:rsidR="00614222" w:rsidRPr="003C18B5" w:rsidRDefault="00614222" w:rsidP="005742D4">
            <w:pPr>
              <w:rPr>
                <w:rFonts w:ascii="Arial" w:hAnsi="Arial" w:cs="Arial"/>
              </w:rPr>
            </w:pPr>
            <w:r w:rsidRPr="003C18B5">
              <w:rPr>
                <w:rFonts w:ascii="Arial" w:hAnsi="Arial" w:cs="Arial"/>
              </w:rPr>
              <w:t>Teléfono Fijo</w:t>
            </w:r>
          </w:p>
        </w:tc>
        <w:tc>
          <w:tcPr>
            <w:tcW w:w="2386" w:type="dxa"/>
          </w:tcPr>
          <w:p w:rsidR="00614222" w:rsidRPr="003C18B5" w:rsidRDefault="00614222" w:rsidP="005742D4">
            <w:pPr>
              <w:rPr>
                <w:rFonts w:ascii="Arial" w:hAnsi="Arial" w:cs="Arial"/>
              </w:rPr>
            </w:pPr>
          </w:p>
        </w:tc>
        <w:tc>
          <w:tcPr>
            <w:tcW w:w="2386" w:type="dxa"/>
          </w:tcPr>
          <w:p w:rsidR="00614222" w:rsidRPr="003C18B5" w:rsidRDefault="00614222" w:rsidP="005742D4">
            <w:pPr>
              <w:rPr>
                <w:rFonts w:ascii="Arial" w:hAnsi="Arial" w:cs="Arial"/>
              </w:rPr>
            </w:pPr>
            <w:r w:rsidRPr="003C18B5">
              <w:rPr>
                <w:rFonts w:ascii="Arial" w:hAnsi="Arial" w:cs="Arial"/>
              </w:rPr>
              <w:t>Teléfono Móvil</w:t>
            </w:r>
          </w:p>
        </w:tc>
        <w:tc>
          <w:tcPr>
            <w:tcW w:w="2386" w:type="dxa"/>
          </w:tcPr>
          <w:p w:rsidR="00614222" w:rsidRPr="003C18B5" w:rsidRDefault="00614222" w:rsidP="005742D4">
            <w:pPr>
              <w:rPr>
                <w:rFonts w:ascii="Arial" w:hAnsi="Arial" w:cs="Arial"/>
                <w:b/>
              </w:rPr>
            </w:pPr>
          </w:p>
        </w:tc>
      </w:tr>
      <w:tr w:rsidR="00614222" w:rsidRPr="003C18B5" w:rsidTr="005742D4">
        <w:tc>
          <w:tcPr>
            <w:tcW w:w="2386" w:type="dxa"/>
          </w:tcPr>
          <w:p w:rsidR="00614222" w:rsidRPr="003C18B5" w:rsidRDefault="00614222" w:rsidP="005742D4">
            <w:pPr>
              <w:rPr>
                <w:rFonts w:ascii="Arial" w:hAnsi="Arial" w:cs="Arial"/>
              </w:rPr>
            </w:pPr>
            <w:r w:rsidRPr="003C18B5">
              <w:rPr>
                <w:rFonts w:ascii="Arial" w:hAnsi="Arial" w:cs="Arial"/>
              </w:rPr>
              <w:t xml:space="preserve">Email Institucional </w:t>
            </w:r>
          </w:p>
        </w:tc>
        <w:tc>
          <w:tcPr>
            <w:tcW w:w="2386" w:type="dxa"/>
          </w:tcPr>
          <w:p w:rsidR="00614222" w:rsidRPr="003C18B5" w:rsidRDefault="00614222" w:rsidP="005742D4">
            <w:pPr>
              <w:rPr>
                <w:rFonts w:ascii="Arial" w:hAnsi="Arial" w:cs="Arial"/>
              </w:rPr>
            </w:pPr>
          </w:p>
        </w:tc>
        <w:tc>
          <w:tcPr>
            <w:tcW w:w="2386" w:type="dxa"/>
          </w:tcPr>
          <w:p w:rsidR="00614222" w:rsidRPr="003C18B5" w:rsidRDefault="00614222" w:rsidP="005742D4">
            <w:pPr>
              <w:rPr>
                <w:rFonts w:ascii="Arial" w:hAnsi="Arial" w:cs="Arial"/>
              </w:rPr>
            </w:pPr>
            <w:r w:rsidRPr="003C18B5">
              <w:rPr>
                <w:rFonts w:ascii="Arial" w:hAnsi="Arial" w:cs="Arial"/>
              </w:rPr>
              <w:t xml:space="preserve">Email Personal </w:t>
            </w:r>
          </w:p>
        </w:tc>
        <w:tc>
          <w:tcPr>
            <w:tcW w:w="2386" w:type="dxa"/>
          </w:tcPr>
          <w:p w:rsidR="00614222" w:rsidRPr="003C18B5" w:rsidRDefault="00614222" w:rsidP="005742D4">
            <w:pPr>
              <w:rPr>
                <w:rFonts w:ascii="Arial" w:hAnsi="Arial" w:cs="Arial"/>
                <w:b/>
              </w:rPr>
            </w:pPr>
          </w:p>
        </w:tc>
      </w:tr>
    </w:tbl>
    <w:p w:rsidR="00E0578F" w:rsidRPr="003C18B5" w:rsidRDefault="00E0578F" w:rsidP="00D713CA">
      <w:pPr>
        <w:spacing w:after="160" w:line="259" w:lineRule="auto"/>
        <w:jc w:val="left"/>
        <w:rPr>
          <w:rFonts w:ascii="Arial" w:hAnsi="Arial" w:cs="Arial"/>
          <w:b/>
        </w:rPr>
      </w:pPr>
    </w:p>
    <w:tbl>
      <w:tblPr>
        <w:tblStyle w:val="Tablaconcuadrcula"/>
        <w:tblW w:w="9398" w:type="dxa"/>
        <w:tblInd w:w="-5" w:type="dxa"/>
        <w:tblLayout w:type="fixed"/>
        <w:tblLook w:val="04A0"/>
      </w:tblPr>
      <w:tblGrid>
        <w:gridCol w:w="9398"/>
      </w:tblGrid>
      <w:tr w:rsidR="00181D9B" w:rsidRPr="003C18B5" w:rsidTr="005742D4">
        <w:trPr>
          <w:trHeight w:val="261"/>
        </w:trPr>
        <w:tc>
          <w:tcPr>
            <w:tcW w:w="9398" w:type="dxa"/>
            <w:shd w:val="clear" w:color="auto" w:fill="D9D9D9" w:themeFill="background1" w:themeFillShade="D9"/>
            <w:vAlign w:val="bottom"/>
          </w:tcPr>
          <w:p w:rsidR="005A0D2B" w:rsidRPr="003C18B5" w:rsidRDefault="00181D9B" w:rsidP="00C17609">
            <w:pPr>
              <w:spacing w:after="0"/>
              <w:rPr>
                <w:rFonts w:ascii="Arial" w:hAnsi="Arial" w:cs="Arial"/>
                <w:i/>
              </w:rPr>
            </w:pPr>
            <w:r w:rsidRPr="003C18B5">
              <w:rPr>
                <w:rFonts w:ascii="Arial" w:hAnsi="Arial" w:cs="Arial"/>
                <w:b/>
              </w:rPr>
              <w:t>3.-</w:t>
            </w:r>
            <w:r w:rsidR="009A3E62" w:rsidRPr="003C18B5">
              <w:rPr>
                <w:rFonts w:ascii="Arial" w:hAnsi="Arial" w:cs="Arial"/>
                <w:b/>
              </w:rPr>
              <w:t xml:space="preserve"> RESUMEN EJECUTIVO</w:t>
            </w:r>
            <w:r w:rsidR="00D713CA">
              <w:rPr>
                <w:rFonts w:ascii="Arial" w:hAnsi="Arial" w:cs="Arial"/>
                <w:b/>
              </w:rPr>
              <w:t xml:space="preserve"> </w:t>
            </w:r>
            <w:r w:rsidRPr="003C18B5">
              <w:rPr>
                <w:rFonts w:ascii="Arial" w:hAnsi="Arial" w:cs="Arial"/>
                <w:b/>
              </w:rPr>
              <w:t>(Máximo 250 palabras)</w:t>
            </w:r>
          </w:p>
          <w:p w:rsidR="00181D9B" w:rsidRPr="003C18B5" w:rsidRDefault="00181D9B" w:rsidP="00C17609">
            <w:pPr>
              <w:spacing w:after="0"/>
              <w:rPr>
                <w:rFonts w:ascii="Arial" w:hAnsi="Arial" w:cs="Arial"/>
                <w:b/>
              </w:rPr>
            </w:pPr>
            <w:r w:rsidRPr="003C18B5">
              <w:rPr>
                <w:rFonts w:ascii="Arial" w:hAnsi="Arial" w:cs="Arial"/>
                <w:i/>
              </w:rPr>
              <w:t xml:space="preserve">Realizar una síntesis clara y concisa sobre el proyecto que incluya: </w:t>
            </w:r>
            <w:r w:rsidR="00525FCA" w:rsidRPr="003C18B5">
              <w:rPr>
                <w:rFonts w:ascii="Arial" w:hAnsi="Arial" w:cs="Arial"/>
                <w:i/>
              </w:rPr>
              <w:t>Antecedentes, Objetivo</w:t>
            </w:r>
            <w:r w:rsidRPr="003C18B5">
              <w:rPr>
                <w:rFonts w:ascii="Arial" w:hAnsi="Arial" w:cs="Arial"/>
                <w:i/>
              </w:rPr>
              <w:t xml:space="preserve"> general, metodología y resultados </w:t>
            </w:r>
            <w:r w:rsidR="006D2491" w:rsidRPr="003C18B5">
              <w:rPr>
                <w:rFonts w:ascii="Arial" w:hAnsi="Arial" w:cs="Arial"/>
                <w:i/>
              </w:rPr>
              <w:t>esperados (H</w:t>
            </w:r>
            <w:r w:rsidR="00C17609" w:rsidRPr="003C18B5">
              <w:rPr>
                <w:rFonts w:ascii="Arial" w:hAnsi="Arial" w:cs="Arial"/>
                <w:i/>
              </w:rPr>
              <w:t>asta tres)</w:t>
            </w:r>
            <w:r w:rsidR="006D2491" w:rsidRPr="003C18B5">
              <w:rPr>
                <w:rFonts w:ascii="Arial" w:hAnsi="Arial" w:cs="Arial"/>
                <w:i/>
              </w:rPr>
              <w:t>.</w:t>
            </w:r>
          </w:p>
        </w:tc>
      </w:tr>
      <w:tr w:rsidR="00181D9B" w:rsidRPr="003C18B5" w:rsidTr="005742D4">
        <w:trPr>
          <w:trHeight w:val="548"/>
        </w:trPr>
        <w:tc>
          <w:tcPr>
            <w:tcW w:w="9398" w:type="dxa"/>
          </w:tcPr>
          <w:p w:rsidR="005711AE" w:rsidRDefault="00925B7E" w:rsidP="00132EB9">
            <w:pPr>
              <w:spacing w:before="120" w:after="100" w:afterAutospacing="1"/>
              <w:ind w:firstLine="567"/>
              <w:rPr>
                <w:rFonts w:ascii="Arial" w:hAnsi="Arial" w:cs="Arial"/>
              </w:rPr>
            </w:pPr>
            <w:r w:rsidRPr="003C18B5">
              <w:rPr>
                <w:rFonts w:ascii="Arial" w:hAnsi="Arial" w:cs="Arial"/>
              </w:rPr>
              <w:t xml:space="preserve">Desde sus orígenes el hombre ha estado expuesto a una variedad de gérmenes patógenos (virus, bacterias, hongos o parásitos) causantes de múltiples enfermedades que en ocasiones resultan letales. En particular, la malaria o paludismo es una enfermedad parasitaria producida en humanos por protozoos del género </w:t>
            </w:r>
            <w:r w:rsidRPr="003C18B5">
              <w:rPr>
                <w:rFonts w:ascii="Arial" w:hAnsi="Arial" w:cs="Arial"/>
                <w:i/>
              </w:rPr>
              <w:t>Plasmodium</w:t>
            </w:r>
            <w:r w:rsidRPr="003C18B5">
              <w:rPr>
                <w:rFonts w:ascii="Arial" w:hAnsi="Arial" w:cs="Arial"/>
              </w:rPr>
              <w:t xml:space="preserve">, de las especies </w:t>
            </w:r>
            <w:r w:rsidRPr="003C18B5">
              <w:rPr>
                <w:rFonts w:ascii="Arial" w:hAnsi="Arial" w:cs="Arial"/>
                <w:i/>
              </w:rPr>
              <w:t>P.</w:t>
            </w:r>
            <w:r w:rsidRPr="003C18B5">
              <w:rPr>
                <w:rFonts w:ascii="Arial" w:hAnsi="Arial" w:cs="Arial"/>
              </w:rPr>
              <w:t xml:space="preserve"> </w:t>
            </w:r>
            <w:r w:rsidRPr="003C18B5">
              <w:rPr>
                <w:rFonts w:ascii="Arial" w:hAnsi="Arial" w:cs="Arial"/>
                <w:i/>
              </w:rPr>
              <w:t>vivax</w:t>
            </w:r>
            <w:r w:rsidRPr="003C18B5">
              <w:rPr>
                <w:rFonts w:ascii="Arial" w:hAnsi="Arial" w:cs="Arial"/>
              </w:rPr>
              <w:t xml:space="preserve">, </w:t>
            </w:r>
            <w:r w:rsidRPr="003C18B5">
              <w:rPr>
                <w:rFonts w:ascii="Arial" w:hAnsi="Arial" w:cs="Arial"/>
                <w:i/>
              </w:rPr>
              <w:t>P.</w:t>
            </w:r>
            <w:r w:rsidRPr="003C18B5">
              <w:rPr>
                <w:rFonts w:ascii="Arial" w:hAnsi="Arial" w:cs="Arial"/>
              </w:rPr>
              <w:t xml:space="preserve"> </w:t>
            </w:r>
            <w:r w:rsidRPr="003C18B5">
              <w:rPr>
                <w:rFonts w:ascii="Arial" w:hAnsi="Arial" w:cs="Arial"/>
                <w:i/>
              </w:rPr>
              <w:t>malariae</w:t>
            </w:r>
            <w:r w:rsidRPr="003C18B5">
              <w:rPr>
                <w:rFonts w:ascii="Arial" w:hAnsi="Arial" w:cs="Arial"/>
              </w:rPr>
              <w:t xml:space="preserve">, </w:t>
            </w:r>
            <w:r w:rsidRPr="003C18B5">
              <w:rPr>
                <w:rFonts w:ascii="Arial" w:hAnsi="Arial" w:cs="Arial"/>
                <w:i/>
              </w:rPr>
              <w:t>P.</w:t>
            </w:r>
            <w:r w:rsidRPr="003C18B5">
              <w:rPr>
                <w:rFonts w:ascii="Arial" w:hAnsi="Arial" w:cs="Arial"/>
              </w:rPr>
              <w:t xml:space="preserve"> </w:t>
            </w:r>
            <w:r w:rsidRPr="003C18B5">
              <w:rPr>
                <w:rFonts w:ascii="Arial" w:hAnsi="Arial" w:cs="Arial"/>
                <w:i/>
              </w:rPr>
              <w:t>falciparum</w:t>
            </w:r>
            <w:r w:rsidRPr="003C18B5">
              <w:rPr>
                <w:rFonts w:ascii="Arial" w:hAnsi="Arial" w:cs="Arial"/>
              </w:rPr>
              <w:t xml:space="preserve">, </w:t>
            </w:r>
            <w:r w:rsidRPr="003C18B5">
              <w:rPr>
                <w:rFonts w:ascii="Arial" w:hAnsi="Arial" w:cs="Arial"/>
                <w:i/>
              </w:rPr>
              <w:t>P.</w:t>
            </w:r>
            <w:r w:rsidRPr="003C18B5">
              <w:rPr>
                <w:rFonts w:ascii="Arial" w:hAnsi="Arial" w:cs="Arial"/>
              </w:rPr>
              <w:t xml:space="preserve"> </w:t>
            </w:r>
            <w:r w:rsidRPr="003C18B5">
              <w:rPr>
                <w:rFonts w:ascii="Arial" w:hAnsi="Arial" w:cs="Arial"/>
                <w:i/>
              </w:rPr>
              <w:t xml:space="preserve">ovale </w:t>
            </w:r>
            <w:r w:rsidRPr="003C18B5">
              <w:rPr>
                <w:rFonts w:ascii="Arial" w:hAnsi="Arial" w:cs="Arial"/>
              </w:rPr>
              <w:t>y</w:t>
            </w:r>
            <w:r w:rsidRPr="003C18B5">
              <w:rPr>
                <w:rFonts w:ascii="Arial" w:hAnsi="Arial" w:cs="Arial"/>
                <w:i/>
              </w:rPr>
              <w:t xml:space="preserve"> </w:t>
            </w:r>
            <w:r w:rsidRPr="003C18B5">
              <w:rPr>
                <w:rFonts w:ascii="Arial" w:hAnsi="Arial" w:cs="Arial"/>
              </w:rPr>
              <w:t xml:space="preserve">la recientemente detectada </w:t>
            </w:r>
            <w:r w:rsidRPr="003C18B5">
              <w:rPr>
                <w:rFonts w:ascii="Arial" w:hAnsi="Arial" w:cs="Arial"/>
                <w:i/>
              </w:rPr>
              <w:t xml:space="preserve">P. </w:t>
            </w:r>
            <w:r w:rsidRPr="003C18B5">
              <w:rPr>
                <w:rFonts w:ascii="Arial" w:hAnsi="Arial" w:cs="Arial"/>
                <w:i/>
                <w:iCs/>
                <w:lang w:eastAsia="es-ES_tradnl"/>
              </w:rPr>
              <w:t>knowlesi</w:t>
            </w:r>
            <w:r w:rsidRPr="003C18B5">
              <w:rPr>
                <w:rFonts w:ascii="Arial" w:hAnsi="Arial" w:cs="Arial"/>
              </w:rPr>
              <w:t xml:space="preserve">, los cuales son transmitidos por mosquitos hembras del género </w:t>
            </w:r>
            <w:r w:rsidRPr="003C18B5">
              <w:rPr>
                <w:rFonts w:ascii="Arial" w:hAnsi="Arial" w:cs="Arial"/>
                <w:i/>
              </w:rPr>
              <w:t>Anopheles</w:t>
            </w:r>
            <w:r w:rsidR="005711AE">
              <w:rPr>
                <w:rFonts w:ascii="Arial" w:hAnsi="Arial" w:cs="Arial"/>
              </w:rPr>
              <w:t>.</w:t>
            </w:r>
          </w:p>
          <w:p w:rsidR="00925B7E" w:rsidRPr="003C18B5" w:rsidRDefault="00925B7E" w:rsidP="005711AE">
            <w:pPr>
              <w:spacing w:before="100" w:beforeAutospacing="1" w:after="100" w:afterAutospacing="1"/>
              <w:ind w:firstLine="567"/>
              <w:rPr>
                <w:rFonts w:ascii="Arial" w:hAnsi="Arial" w:cs="Arial"/>
              </w:rPr>
            </w:pPr>
            <w:r w:rsidRPr="003C18B5">
              <w:rPr>
                <w:rFonts w:ascii="Arial" w:hAnsi="Arial" w:cs="Arial"/>
              </w:rPr>
              <w:t xml:space="preserve">Para el año 2015 se reportaron 212 millones de casos de malaria, con una cifra de 429.000 defunciones, de las cuales aproximadamente el 70% resultaron ser niños menores de 5 años (WHO, 2016). </w:t>
            </w:r>
            <w:r w:rsidR="003355BB" w:rsidRPr="003C18B5">
              <w:rPr>
                <w:rFonts w:ascii="Arial" w:hAnsi="Arial" w:cs="Arial"/>
              </w:rPr>
              <w:t>E</w:t>
            </w:r>
            <w:r w:rsidRPr="003C18B5">
              <w:rPr>
                <w:rFonts w:ascii="Arial" w:hAnsi="Arial" w:cs="Arial"/>
              </w:rPr>
              <w:t>n Ecuador</w:t>
            </w:r>
            <w:r w:rsidR="003355BB" w:rsidRPr="003C18B5">
              <w:rPr>
                <w:rFonts w:ascii="Arial" w:hAnsi="Arial" w:cs="Arial"/>
              </w:rPr>
              <w:t xml:space="preserve"> los principa</w:t>
            </w:r>
            <w:r w:rsidRPr="003C18B5">
              <w:rPr>
                <w:rFonts w:ascii="Arial" w:hAnsi="Arial" w:cs="Arial"/>
              </w:rPr>
              <w:t>les casos se ubican en la Costa y Oriente del País, principalmente en las provincias de Morona Santiago, Pastaza, Orellana</w:t>
            </w:r>
            <w:r w:rsidR="00113099" w:rsidRPr="003C18B5">
              <w:rPr>
                <w:rFonts w:ascii="Arial" w:hAnsi="Arial" w:cs="Arial"/>
              </w:rPr>
              <w:t>, Esmeraldas, Sucumbí</w:t>
            </w:r>
            <w:r w:rsidRPr="003C18B5">
              <w:rPr>
                <w:rFonts w:ascii="Arial" w:hAnsi="Arial" w:cs="Arial"/>
              </w:rPr>
              <w:t>os</w:t>
            </w:r>
            <w:r w:rsidR="00113099" w:rsidRPr="003C18B5">
              <w:rPr>
                <w:rFonts w:ascii="Arial" w:hAnsi="Arial" w:cs="Arial"/>
              </w:rPr>
              <w:t xml:space="preserve">, entre otras; </w:t>
            </w:r>
            <w:r w:rsidRPr="003C18B5">
              <w:rPr>
                <w:rFonts w:ascii="Arial" w:hAnsi="Arial" w:cs="Arial"/>
              </w:rPr>
              <w:t>con</w:t>
            </w:r>
            <w:r w:rsidR="00113099" w:rsidRPr="003C18B5">
              <w:rPr>
                <w:rFonts w:ascii="Arial" w:hAnsi="Arial" w:cs="Arial"/>
              </w:rPr>
              <w:t xml:space="preserve"> una cifra que supera los 500 casos confirmados hasta el 31 de agosto de 2016.</w:t>
            </w:r>
            <w:r w:rsidR="00F1268C" w:rsidRPr="003C18B5">
              <w:rPr>
                <w:rFonts w:ascii="Arial" w:hAnsi="Arial" w:cs="Arial"/>
              </w:rPr>
              <w:t xml:space="preserve"> </w:t>
            </w:r>
            <w:r w:rsidR="00F1268C" w:rsidRPr="003C18B5">
              <w:rPr>
                <w:rFonts w:ascii="Arial" w:hAnsi="Arial" w:cs="Arial"/>
              </w:rPr>
              <w:fldChar w:fldCharType="begin" w:fldLock="1"/>
            </w:r>
            <w:r w:rsidR="00F1268C" w:rsidRPr="003C18B5">
              <w:rPr>
                <w:rFonts w:ascii="Arial" w:hAnsi="Arial" w:cs="Arial"/>
              </w:rPr>
              <w:instrText>ADDIN CSL_CITATION { "citationItems" : [ { "id" : "ITEM-1", "itemData" : { "author" : [ { "dropping-particle" : "", "family" : "Ministerio de Salud P\u00fablica", "given" : "", "non-dropping-particle" : "", "parse-names" : false, "suffix" : "" } ], "id" : "ITEM-1", "issued" : { "date-parts" : [ [ "2016" ] ] }, "number-of-pages" : "19", "title" : "Gaceta epidemiol\u00f3gica semanal nro. 34", "type" : "report" }, "uris" : [ "http://www.mendeley.com/documents/?uuid=4a0c73f2-6a34-4e43-a246-bf8d84da64a6" ] } ], "mendeley" : { "formattedCitation" : "(Ministerio de Salud P\u00fablica, 2016)", "plainTextFormattedCitation" : "(Ministerio de Salud P\u00fablica, 2016)", "previouslyFormattedCitation" : "(Ministerio de Salud P\u00fablica, 2016)" }, "properties" : {  }, "schema" : "https://github.com/citation-style-language/schema/raw/master/csl-citation.json" }</w:instrText>
            </w:r>
            <w:r w:rsidR="00F1268C" w:rsidRPr="003C18B5">
              <w:rPr>
                <w:rFonts w:ascii="Arial" w:hAnsi="Arial" w:cs="Arial"/>
              </w:rPr>
              <w:fldChar w:fldCharType="separate"/>
            </w:r>
            <w:r w:rsidR="00F1268C" w:rsidRPr="003C18B5">
              <w:rPr>
                <w:rFonts w:ascii="Arial" w:hAnsi="Arial" w:cs="Arial"/>
                <w:noProof/>
              </w:rPr>
              <w:t>(Ministerio de Salud Pública, 2016)</w:t>
            </w:r>
            <w:r w:rsidR="00F1268C" w:rsidRPr="003C18B5">
              <w:rPr>
                <w:rFonts w:ascii="Arial" w:hAnsi="Arial" w:cs="Arial"/>
              </w:rPr>
              <w:fldChar w:fldCharType="end"/>
            </w:r>
          </w:p>
          <w:p w:rsidR="00CE7C84" w:rsidRPr="003C18B5" w:rsidRDefault="00BD22BE" w:rsidP="00B81A66">
            <w:pPr>
              <w:spacing w:before="100" w:beforeAutospacing="1" w:after="100" w:afterAutospacing="1"/>
              <w:ind w:firstLine="567"/>
              <w:rPr>
                <w:rFonts w:ascii="Arial" w:hAnsi="Arial" w:cs="Arial"/>
              </w:rPr>
            </w:pPr>
            <w:r w:rsidRPr="003C18B5">
              <w:rPr>
                <w:rFonts w:ascii="Arial" w:hAnsi="Arial" w:cs="Arial"/>
              </w:rPr>
              <w:t xml:space="preserve">Para disminuir el índice de mortalidad de la malaria, en la actualidad están disponibles tratamientos terapéuticos pertenecientes a diversas familias químicas, tales como: 4-aminoquinolinas, lactonas sesquiterpénicas, entre otras. Sin embargo, muchos medicamentos relacionados con algunas de estas familias han disminuido en eficacia dado la capacidad que tiene el </w:t>
            </w:r>
            <w:r w:rsidRPr="003C18B5">
              <w:rPr>
                <w:rFonts w:ascii="Arial" w:hAnsi="Arial" w:cs="Arial"/>
                <w:i/>
              </w:rPr>
              <w:t>Plasmodium</w:t>
            </w:r>
            <w:r w:rsidRPr="003C18B5">
              <w:rPr>
                <w:rFonts w:ascii="Arial" w:hAnsi="Arial" w:cs="Arial"/>
              </w:rPr>
              <w:t xml:space="preserve"> de desarrollar resistencia, siendo éste el principal obstáculo en la lucha contra la malaria.</w:t>
            </w:r>
          </w:p>
          <w:p w:rsidR="00CE7C84" w:rsidRPr="003C18B5" w:rsidRDefault="003355BB" w:rsidP="00B81A66">
            <w:pPr>
              <w:spacing w:before="100" w:beforeAutospacing="1" w:after="100" w:afterAutospacing="1"/>
              <w:ind w:firstLine="567"/>
              <w:rPr>
                <w:rFonts w:ascii="Arial" w:hAnsi="Arial" w:cs="Arial"/>
              </w:rPr>
            </w:pPr>
            <w:r w:rsidRPr="003C18B5">
              <w:rPr>
                <w:rFonts w:ascii="Arial" w:hAnsi="Arial" w:cs="Arial"/>
              </w:rPr>
              <w:t>Estos hechos conducen a la necesidad de progresar e</w:t>
            </w:r>
            <w:r w:rsidR="00B53698" w:rsidRPr="003C18B5">
              <w:rPr>
                <w:rFonts w:ascii="Arial" w:hAnsi="Arial" w:cs="Arial"/>
              </w:rPr>
              <w:t>n el desarrollo de nuevos fármacos</w:t>
            </w:r>
            <w:r w:rsidRPr="003C18B5">
              <w:rPr>
                <w:rFonts w:ascii="Arial" w:hAnsi="Arial" w:cs="Arial"/>
              </w:rPr>
              <w:t xml:space="preserve"> con el objetivo de disminuir los eventos de resistencia y aumentar la eficacia de tales sustancias; para esto se han propuesto diversas metodologías de diseño de drogas que incluyen la síntesis de moléculas basadas en compuestos líderes o farmacóforos, hibridación molecular y acomplejamiento metálico. El presente trabajo se fundamenta en la interrelación de estas tres metodologías como estrategia multi-terapéutica contra la malaria.</w:t>
            </w:r>
          </w:p>
          <w:p w:rsidR="00181D9B" w:rsidRPr="003C18B5" w:rsidRDefault="00CE7C84" w:rsidP="00132EB9">
            <w:pPr>
              <w:spacing w:before="100" w:beforeAutospacing="1" w:after="120"/>
              <w:ind w:firstLine="567"/>
              <w:rPr>
                <w:rFonts w:ascii="Arial" w:hAnsi="Arial" w:cs="Arial"/>
                <w:lang w:val="es-ES_tradnl"/>
              </w:rPr>
            </w:pPr>
            <w:r w:rsidRPr="003C18B5">
              <w:rPr>
                <w:rFonts w:ascii="Arial" w:hAnsi="Arial" w:cs="Arial"/>
              </w:rPr>
              <w:t>En este sentido, los compuestos a sintetizar están basados en el núcleo farmacofórico 7-cloro-4</w:t>
            </w:r>
            <w:r w:rsidR="00B81A66">
              <w:rPr>
                <w:rFonts w:ascii="Arial" w:hAnsi="Arial" w:cs="Arial"/>
              </w:rPr>
              <w:t>-aminoquinolina (antimalárico),</w:t>
            </w:r>
            <w:r w:rsidRPr="003C18B5">
              <w:rPr>
                <w:rFonts w:ascii="Arial" w:hAnsi="Arial" w:cs="Arial"/>
              </w:rPr>
              <w:t xml:space="preserve"> así como las semicarbazonas</w:t>
            </w:r>
            <w:r w:rsidR="00D713CA">
              <w:rPr>
                <w:rFonts w:ascii="Arial" w:hAnsi="Arial" w:cs="Arial"/>
              </w:rPr>
              <w:t>,</w:t>
            </w:r>
            <w:r w:rsidRPr="003C18B5">
              <w:rPr>
                <w:rFonts w:ascii="Arial" w:hAnsi="Arial" w:cs="Arial"/>
              </w:rPr>
              <w:t xml:space="preserve"> tiosemicarbazonas</w:t>
            </w:r>
            <w:r w:rsidR="00D713CA">
              <w:rPr>
                <w:rFonts w:ascii="Arial" w:hAnsi="Arial" w:cs="Arial"/>
              </w:rPr>
              <w:t xml:space="preserve"> y </w:t>
            </w:r>
            <w:r w:rsidR="00D713CA" w:rsidRPr="003C18B5">
              <w:rPr>
                <w:rFonts w:ascii="Arial" w:hAnsi="Arial" w:cs="Arial"/>
              </w:rPr>
              <w:t>carboximidamidas</w:t>
            </w:r>
            <w:r w:rsidRPr="003C18B5">
              <w:rPr>
                <w:rFonts w:ascii="Arial" w:hAnsi="Arial" w:cs="Arial"/>
              </w:rPr>
              <w:t xml:space="preserve"> para suministrar otros sitios reactivos (unidad electrófila).</w:t>
            </w:r>
            <w:r w:rsidRPr="003C18B5">
              <w:rPr>
                <w:rFonts w:ascii="Arial" w:hAnsi="Arial" w:cs="Arial"/>
                <w:vertAlign w:val="superscript"/>
              </w:rPr>
              <w:t xml:space="preserve"> </w:t>
            </w:r>
            <w:r w:rsidR="005B77AF" w:rsidRPr="003C18B5">
              <w:rPr>
                <w:rFonts w:ascii="Arial" w:hAnsi="Arial" w:cs="Arial"/>
                <w:iCs/>
                <w:lang w:val="es-ES_tradnl"/>
              </w:rPr>
              <w:t>Después de</w:t>
            </w:r>
            <w:r w:rsidR="003355BB" w:rsidRPr="003C18B5">
              <w:rPr>
                <w:rFonts w:ascii="Arial" w:hAnsi="Arial" w:cs="Arial"/>
                <w:iCs/>
                <w:lang w:val="es-ES_tradnl"/>
              </w:rPr>
              <w:t xml:space="preserve"> la caracterización espectroscópica de los citados derivados se procederá </w:t>
            </w:r>
            <w:r w:rsidR="005B77AF" w:rsidRPr="003C18B5">
              <w:rPr>
                <w:rFonts w:ascii="Arial" w:hAnsi="Arial" w:cs="Arial"/>
                <w:iCs/>
                <w:lang w:val="es-ES_tradnl"/>
              </w:rPr>
              <w:t xml:space="preserve">en un segundo proyecto </w:t>
            </w:r>
            <w:r w:rsidR="003355BB" w:rsidRPr="003C18B5">
              <w:rPr>
                <w:rFonts w:ascii="Arial" w:hAnsi="Arial" w:cs="Arial"/>
                <w:iCs/>
                <w:lang w:val="es-ES_tradnl"/>
              </w:rPr>
              <w:t xml:space="preserve">a la evaluación de su </w:t>
            </w:r>
            <w:r w:rsidR="005B77AF" w:rsidRPr="003C18B5">
              <w:rPr>
                <w:rFonts w:ascii="Arial" w:hAnsi="Arial" w:cs="Arial"/>
                <w:iCs/>
                <w:lang w:val="es-ES_tradnl"/>
              </w:rPr>
              <w:t>potencial bioactividad (principalmente antimalárica) haciendo uso de algunas</w:t>
            </w:r>
            <w:r w:rsidR="003355BB" w:rsidRPr="003C18B5">
              <w:rPr>
                <w:rFonts w:ascii="Arial" w:hAnsi="Arial" w:cs="Arial"/>
                <w:iCs/>
                <w:lang w:val="es-ES_tradnl"/>
              </w:rPr>
              <w:t xml:space="preserve"> prueba</w:t>
            </w:r>
            <w:r w:rsidR="005B77AF" w:rsidRPr="003C18B5">
              <w:rPr>
                <w:rFonts w:ascii="Arial" w:hAnsi="Arial" w:cs="Arial"/>
                <w:iCs/>
                <w:lang w:val="es-ES_tradnl"/>
              </w:rPr>
              <w:t>s</w:t>
            </w:r>
            <w:r w:rsidR="003355BB" w:rsidRPr="003C18B5">
              <w:rPr>
                <w:rFonts w:ascii="Arial" w:hAnsi="Arial" w:cs="Arial"/>
                <w:iCs/>
                <w:lang w:val="es-ES_tradnl"/>
              </w:rPr>
              <w:t xml:space="preserve"> in vitro</w:t>
            </w:r>
            <w:r w:rsidR="005B77AF" w:rsidRPr="003C18B5">
              <w:rPr>
                <w:rFonts w:ascii="Arial" w:hAnsi="Arial" w:cs="Arial"/>
                <w:iCs/>
                <w:lang w:val="es-ES_tradnl"/>
              </w:rPr>
              <w:t>.</w:t>
            </w:r>
          </w:p>
        </w:tc>
      </w:tr>
    </w:tbl>
    <w:p w:rsidR="00181D9B" w:rsidRDefault="00181D9B" w:rsidP="00F635FC">
      <w:pPr>
        <w:rPr>
          <w:rFonts w:ascii="Arial" w:hAnsi="Arial" w:cs="Arial"/>
          <w:b/>
        </w:rPr>
      </w:pPr>
    </w:p>
    <w:p w:rsidR="00D713CA" w:rsidRDefault="00D713CA" w:rsidP="00F635FC">
      <w:pPr>
        <w:rPr>
          <w:rFonts w:ascii="Arial" w:hAnsi="Arial" w:cs="Arial"/>
          <w:b/>
        </w:rPr>
      </w:pPr>
    </w:p>
    <w:p w:rsidR="00D713CA" w:rsidRPr="003C18B5" w:rsidRDefault="00D713CA" w:rsidP="00F635FC">
      <w:pPr>
        <w:rPr>
          <w:rFonts w:ascii="Arial" w:hAnsi="Arial" w:cs="Arial"/>
          <w:b/>
        </w:rPr>
      </w:pPr>
    </w:p>
    <w:tbl>
      <w:tblPr>
        <w:tblStyle w:val="Tablaconcuadrcula"/>
        <w:tblW w:w="9398" w:type="dxa"/>
        <w:tblInd w:w="-5" w:type="dxa"/>
        <w:tblLayout w:type="fixed"/>
        <w:tblLook w:val="04A0"/>
      </w:tblPr>
      <w:tblGrid>
        <w:gridCol w:w="9398"/>
      </w:tblGrid>
      <w:tr w:rsidR="00181D9B" w:rsidRPr="003C18B5" w:rsidTr="005742D4">
        <w:trPr>
          <w:trHeight w:val="261"/>
        </w:trPr>
        <w:tc>
          <w:tcPr>
            <w:tcW w:w="9398" w:type="dxa"/>
            <w:shd w:val="clear" w:color="auto" w:fill="D9D9D9" w:themeFill="background1" w:themeFillShade="D9"/>
            <w:vAlign w:val="bottom"/>
          </w:tcPr>
          <w:p w:rsidR="00181D9B" w:rsidRPr="003C18B5" w:rsidRDefault="00181D9B" w:rsidP="00181D9B">
            <w:pPr>
              <w:spacing w:after="0"/>
              <w:rPr>
                <w:rFonts w:ascii="Arial" w:hAnsi="Arial" w:cs="Arial"/>
                <w:b/>
              </w:rPr>
            </w:pPr>
            <w:r w:rsidRPr="003C18B5">
              <w:rPr>
                <w:rFonts w:ascii="Arial" w:hAnsi="Arial" w:cs="Arial"/>
                <w:b/>
              </w:rPr>
              <w:lastRenderedPageBreak/>
              <w:t>4.-MARCO TEÓRICO</w:t>
            </w:r>
            <w:r w:rsidR="00C17609" w:rsidRPr="003C18B5">
              <w:rPr>
                <w:rFonts w:ascii="Arial" w:hAnsi="Arial" w:cs="Arial"/>
                <w:b/>
              </w:rPr>
              <w:t xml:space="preserve"> (Máximo 2000 palabras)</w:t>
            </w:r>
          </w:p>
          <w:p w:rsidR="00181D9B" w:rsidRPr="003C18B5" w:rsidRDefault="00181D9B" w:rsidP="00181D9B">
            <w:pPr>
              <w:spacing w:after="0"/>
              <w:rPr>
                <w:rFonts w:ascii="Arial" w:hAnsi="Arial" w:cs="Arial"/>
                <w:i/>
              </w:rPr>
            </w:pPr>
            <w:r w:rsidRPr="003C18B5">
              <w:rPr>
                <w:rFonts w:ascii="Arial" w:hAnsi="Arial" w:cs="Arial"/>
                <w:i/>
              </w:rPr>
              <w:t>Es la base de conocimientos (estado del arte) sobre el tema para plantear el problema o para encontrar la pregunta de investigación.</w:t>
            </w:r>
            <w:r w:rsidR="00652229" w:rsidRPr="003C18B5">
              <w:rPr>
                <w:rFonts w:ascii="Arial" w:hAnsi="Arial" w:cs="Arial"/>
                <w:i/>
              </w:rPr>
              <w:t xml:space="preserve"> Debe contener citas bibliográficas utilizando gestores de contenido (Zotero, Mendeley).</w:t>
            </w:r>
          </w:p>
        </w:tc>
      </w:tr>
      <w:tr w:rsidR="00181D9B" w:rsidRPr="003C18B5" w:rsidTr="005742D4">
        <w:trPr>
          <w:trHeight w:val="548"/>
        </w:trPr>
        <w:tc>
          <w:tcPr>
            <w:tcW w:w="9398" w:type="dxa"/>
          </w:tcPr>
          <w:p w:rsidR="005711AE" w:rsidRDefault="00D80260" w:rsidP="007C05DC">
            <w:pPr>
              <w:spacing w:before="120" w:after="100" w:afterAutospacing="1"/>
              <w:ind w:firstLine="573"/>
              <w:rPr>
                <w:rFonts w:ascii="Arial" w:hAnsi="Arial" w:cs="Arial"/>
                <w:bCs/>
                <w:iCs/>
                <w:lang w:val="es-VE"/>
              </w:rPr>
            </w:pPr>
            <w:r w:rsidRPr="003C18B5">
              <w:rPr>
                <w:rFonts w:ascii="Arial" w:hAnsi="Arial" w:cs="Arial"/>
                <w:lang w:val="es-ES_tradnl"/>
              </w:rPr>
              <w:t xml:space="preserve">La malaria o paludismo representa una de las enfermedades infecciosas de mayor impacto a nivel mundial, considerado un problema de salud pública que ha desafiado a investigadores y gobernantes. </w:t>
            </w:r>
            <w:r w:rsidRPr="003C18B5">
              <w:rPr>
                <w:rFonts w:ascii="Arial" w:hAnsi="Arial" w:cs="Arial"/>
                <w:bCs/>
                <w:iCs/>
                <w:lang w:val="es-VE"/>
              </w:rPr>
              <w:t>Es una enfermedad propia de las regiones tropicales, y una de las causas de muerte más común en éstas.</w:t>
            </w:r>
          </w:p>
          <w:p w:rsidR="005711AE" w:rsidRDefault="00D80260" w:rsidP="005711AE">
            <w:pPr>
              <w:spacing w:before="100" w:beforeAutospacing="1" w:after="100" w:afterAutospacing="1"/>
              <w:ind w:firstLine="572"/>
              <w:rPr>
                <w:rFonts w:ascii="Arial" w:hAnsi="Arial" w:cs="Arial"/>
                <w:bCs/>
                <w:iCs/>
                <w:lang w:val="es-VE"/>
              </w:rPr>
            </w:pPr>
            <w:r w:rsidRPr="003C18B5">
              <w:rPr>
                <w:rFonts w:ascii="Arial" w:hAnsi="Arial" w:cs="Arial"/>
                <w:bCs/>
              </w:rPr>
              <w:t xml:space="preserve">Estimaciones recientes de </w:t>
            </w:r>
            <w:smartTag w:uri="urn:schemas-microsoft-com:office:smarttags" w:element="PersonName">
              <w:smartTagPr>
                <w:attr w:name="ProductID" w:val="la Organizaci￳n Mundial"/>
              </w:smartTagPr>
              <w:r w:rsidRPr="003C18B5">
                <w:rPr>
                  <w:rFonts w:ascii="Arial" w:hAnsi="Arial" w:cs="Arial"/>
                  <w:bCs/>
                </w:rPr>
                <w:t>la Organización Mundial</w:t>
              </w:r>
            </w:smartTag>
            <w:r w:rsidRPr="003C18B5">
              <w:rPr>
                <w:rFonts w:ascii="Arial" w:hAnsi="Arial" w:cs="Arial"/>
                <w:bCs/>
              </w:rPr>
              <w:t xml:space="preserve"> de </w:t>
            </w:r>
            <w:smartTag w:uri="urn:schemas-microsoft-com:office:smarttags" w:element="PersonName">
              <w:smartTagPr>
                <w:attr w:name="ProductID" w:val="la Salud"/>
              </w:smartTagPr>
              <w:r w:rsidRPr="003C18B5">
                <w:rPr>
                  <w:rFonts w:ascii="Arial" w:hAnsi="Arial" w:cs="Arial"/>
                  <w:bCs/>
                </w:rPr>
                <w:t>la Salud</w:t>
              </w:r>
            </w:smartTag>
            <w:r w:rsidRPr="003C18B5">
              <w:rPr>
                <w:rFonts w:ascii="Arial" w:hAnsi="Arial" w:cs="Arial"/>
                <w:bCs/>
                <w:vertAlign w:val="superscript"/>
              </w:rPr>
              <w:t xml:space="preserve"> </w:t>
            </w:r>
            <w:r w:rsidRPr="003C18B5">
              <w:rPr>
                <w:rFonts w:ascii="Arial" w:hAnsi="Arial" w:cs="Arial"/>
                <w:bCs/>
              </w:rPr>
              <w:t>señalan que existen</w:t>
            </w:r>
            <w:r w:rsidRPr="003C18B5">
              <w:rPr>
                <w:rFonts w:ascii="Arial" w:hAnsi="Arial" w:cs="Arial"/>
              </w:rPr>
              <w:t xml:space="preserve"> 212 millones de casos de malaria, con una cifra de 429.000 defunciones de las cuales aproximadamente el 70% resultaron ser niños menores de 5 años</w:t>
            </w:r>
            <w:r w:rsidR="00D53D7B" w:rsidRPr="003C18B5">
              <w:rPr>
                <w:rFonts w:ascii="Arial" w:hAnsi="Arial" w:cs="Arial"/>
              </w:rPr>
              <w:t xml:space="preserve"> </w:t>
            </w:r>
            <w:r w:rsidR="00D53D7B" w:rsidRPr="003C18B5">
              <w:rPr>
                <w:rFonts w:ascii="Arial" w:hAnsi="Arial" w:cs="Arial"/>
              </w:rPr>
              <w:fldChar w:fldCharType="begin" w:fldLock="1"/>
            </w:r>
            <w:r w:rsidR="00D53D7B" w:rsidRPr="003C18B5">
              <w:rPr>
                <w:rFonts w:ascii="Arial" w:hAnsi="Arial" w:cs="Arial"/>
              </w:rPr>
              <w:instrText>ADDIN CSL_CITATION { "citationItems" : [ { "id" : "ITEM-1", "itemData" : { "DOI" : "10.4135/9781452276151.n221", "ISBN" : "9781452205052", "ISSN" : "0311-4546", "PMID" : "9375913", "abstract" : "m a l a r i a a t l a s p r o j e c t", "author" : [ { "dropping-particle" : "", "family" : "WHO", "given" : "", "non-dropping-particle" : "", "parse-names" : false, "suffix" : "" } ], "container-title" : "World Health Organization", "id" : "ITEM-1", "issued" : { "date-parts" : [ [ "2016" ] ] }, "number-of-pages" : "1-186", "title" : "World Malaria Report", "type" : "book" }, "uris" : [ "http://www.mendeley.com/documents/?uuid=6fb7d379-6970-4fa7-985c-a89fefd0182c" ] } ], "mendeley" : { "formattedCitation" : "(WHO, 2016)", "plainTextFormattedCitation" : "(WHO, 2016)", "previouslyFormattedCitation" : "(WHO, 2016)" }, "properties" : {  }, "schema" : "https://github.com/citation-style-language/schema/raw/master/csl-citation.json" }</w:instrText>
            </w:r>
            <w:r w:rsidR="00D53D7B" w:rsidRPr="003C18B5">
              <w:rPr>
                <w:rFonts w:ascii="Arial" w:hAnsi="Arial" w:cs="Arial"/>
              </w:rPr>
              <w:fldChar w:fldCharType="separate"/>
            </w:r>
            <w:r w:rsidR="00D53D7B" w:rsidRPr="003C18B5">
              <w:rPr>
                <w:rFonts w:ascii="Arial" w:hAnsi="Arial" w:cs="Arial"/>
                <w:noProof/>
              </w:rPr>
              <w:t>(WHO, 2016)</w:t>
            </w:r>
            <w:r w:rsidR="00D53D7B" w:rsidRPr="003C18B5">
              <w:rPr>
                <w:rFonts w:ascii="Arial" w:hAnsi="Arial" w:cs="Arial"/>
              </w:rPr>
              <w:fldChar w:fldCharType="end"/>
            </w:r>
            <w:r w:rsidRPr="003C18B5">
              <w:rPr>
                <w:rFonts w:ascii="Arial" w:hAnsi="Arial" w:cs="Arial"/>
              </w:rPr>
              <w:t>. En Ecuador las zonas más afectadas se encuentran en las provincias de Morona Santiago, Pastaza, Orellana, Esmeraldas y</w:t>
            </w:r>
            <w:r w:rsidR="00071F2A" w:rsidRPr="003C18B5">
              <w:rPr>
                <w:rFonts w:ascii="Arial" w:hAnsi="Arial" w:cs="Arial"/>
              </w:rPr>
              <w:t xml:space="preserve"> Sucumbíos </w:t>
            </w:r>
            <w:r w:rsidR="00071F2A" w:rsidRPr="003C18B5">
              <w:rPr>
                <w:rFonts w:ascii="Arial" w:hAnsi="Arial" w:cs="Arial"/>
              </w:rPr>
              <w:fldChar w:fldCharType="begin" w:fldLock="1"/>
            </w:r>
            <w:r w:rsidR="00071F2A" w:rsidRPr="003C18B5">
              <w:rPr>
                <w:rFonts w:ascii="Arial" w:hAnsi="Arial" w:cs="Arial"/>
              </w:rPr>
              <w:instrText>ADDIN CSL_CITATION { "citationItems" : [ { "id" : "ITEM-1", "itemData" : { "author" : [ { "dropping-particle" : "", "family" : "Ministerio de Salud P\u00fablica", "given" : "", "non-dropping-particle" : "", "parse-names" : false, "suffix" : "" } ], "id" : "ITEM-1", "issued" : { "date-parts" : [ [ "2016" ] ] }, "number-of-pages" : "19", "title" : "Gaceta epidemiol\u00f3gica semanal nro. 34", "type" : "report" }, "uris" : [ "http://www.mendeley.com/documents/?uuid=4a0c73f2-6a34-4e43-a246-bf8d84da64a6" ] } ], "mendeley" : { "formattedCitation" : "(Ministerio de Salud P\u00fablica, 2016)", "plainTextFormattedCitation" : "(Ministerio de Salud P\u00fablica, 2016)", "previouslyFormattedCitation" : "(Ministerio de Salud P\u00fablica, 2016)" }, "properties" : {  }, "schema" : "https://github.com/citation-style-language/schema/raw/master/csl-citation.json" }</w:instrText>
            </w:r>
            <w:r w:rsidR="00071F2A" w:rsidRPr="003C18B5">
              <w:rPr>
                <w:rFonts w:ascii="Arial" w:hAnsi="Arial" w:cs="Arial"/>
              </w:rPr>
              <w:fldChar w:fldCharType="separate"/>
            </w:r>
            <w:r w:rsidR="00071F2A" w:rsidRPr="003C18B5">
              <w:rPr>
                <w:rFonts w:ascii="Arial" w:hAnsi="Arial" w:cs="Arial"/>
                <w:noProof/>
              </w:rPr>
              <w:t>(Ministerio de Salud Pública, 2016)</w:t>
            </w:r>
            <w:r w:rsidR="00071F2A" w:rsidRPr="003C18B5">
              <w:rPr>
                <w:rFonts w:ascii="Arial" w:hAnsi="Arial" w:cs="Arial"/>
              </w:rPr>
              <w:fldChar w:fldCharType="end"/>
            </w:r>
            <w:r w:rsidR="00071F2A" w:rsidRPr="003C18B5">
              <w:rPr>
                <w:rFonts w:ascii="Arial" w:hAnsi="Arial" w:cs="Arial"/>
              </w:rPr>
              <w:t>.</w:t>
            </w:r>
          </w:p>
          <w:p w:rsidR="005711AE" w:rsidRDefault="00D80260" w:rsidP="005711AE">
            <w:pPr>
              <w:spacing w:before="100" w:beforeAutospacing="1" w:after="100" w:afterAutospacing="1"/>
              <w:ind w:firstLine="572"/>
              <w:rPr>
                <w:rFonts w:ascii="Arial" w:hAnsi="Arial" w:cs="Arial"/>
                <w:bCs/>
                <w:iCs/>
                <w:lang w:val="es-VE"/>
              </w:rPr>
            </w:pPr>
            <w:r w:rsidRPr="003C18B5">
              <w:rPr>
                <w:rFonts w:ascii="Arial" w:hAnsi="Arial" w:cs="Arial"/>
                <w:lang w:val="es-VE"/>
              </w:rPr>
              <w:t xml:space="preserve">La malaria es producida por especies de protozoarios del género </w:t>
            </w:r>
            <w:r w:rsidRPr="003C18B5">
              <w:rPr>
                <w:rFonts w:ascii="Arial" w:hAnsi="Arial" w:cs="Arial"/>
                <w:i/>
                <w:lang w:val="es-VE"/>
              </w:rPr>
              <w:t>Plasmodium</w:t>
            </w:r>
            <w:r w:rsidRPr="003C18B5">
              <w:rPr>
                <w:rFonts w:ascii="Arial" w:hAnsi="Arial" w:cs="Arial"/>
                <w:lang w:val="es-VE"/>
              </w:rPr>
              <w:t xml:space="preserve">, siendo el </w:t>
            </w:r>
            <w:r w:rsidRPr="003C18B5">
              <w:rPr>
                <w:rFonts w:ascii="Arial" w:hAnsi="Arial" w:cs="Arial"/>
                <w:i/>
                <w:lang w:val="es-VE"/>
              </w:rPr>
              <w:t>Plasmodium falciparum</w:t>
            </w:r>
            <w:r w:rsidRPr="003C18B5">
              <w:rPr>
                <w:rFonts w:ascii="Arial" w:hAnsi="Arial" w:cs="Arial"/>
                <w:lang w:val="es-VE"/>
              </w:rPr>
              <w:t xml:space="preserve"> la especie más letal. El parásito pasa por dos ciclos consecutivos: un ciclo exoeritrocítico, dentro de células hepáticas, donde el parásito se </w:t>
            </w:r>
            <w:r w:rsidRPr="003C18B5">
              <w:rPr>
                <w:rFonts w:ascii="Arial" w:hAnsi="Arial" w:cs="Arial"/>
              </w:rPr>
              <w:t>replica bajo la forma de esquizontes,</w:t>
            </w:r>
            <w:r w:rsidRPr="003C18B5">
              <w:rPr>
                <w:rFonts w:ascii="Arial" w:hAnsi="Arial" w:cs="Arial"/>
                <w:lang w:val="es-VE"/>
              </w:rPr>
              <w:t xml:space="preserve"> y un ciclo eritrocítico,</w:t>
            </w:r>
            <w:r w:rsidRPr="003C18B5">
              <w:rPr>
                <w:rFonts w:ascii="Arial" w:hAnsi="Arial" w:cs="Arial"/>
              </w:rPr>
              <w:t xml:space="preserve"> donde continúa su proceso de desarrollo mediante una segunda nueva reproducción bajo la forma de trofozoitos</w:t>
            </w:r>
            <w:r w:rsidR="00AA3003" w:rsidRPr="003C18B5">
              <w:rPr>
                <w:rFonts w:ascii="Arial" w:hAnsi="Arial" w:cs="Arial"/>
              </w:rPr>
              <w:t xml:space="preserve"> </w:t>
            </w:r>
            <w:r w:rsidR="00AA3003" w:rsidRPr="003C18B5">
              <w:rPr>
                <w:rFonts w:ascii="Arial" w:hAnsi="Arial" w:cs="Arial"/>
              </w:rPr>
              <w:fldChar w:fldCharType="begin" w:fldLock="1"/>
            </w:r>
            <w:r w:rsidR="00AE66C1" w:rsidRPr="003C18B5">
              <w:rPr>
                <w:rFonts w:ascii="Arial" w:hAnsi="Arial" w:cs="Arial"/>
              </w:rPr>
              <w:instrText>ADDIN CSL_CITATION { "citationItems" : [ { "id" : "ITEM-1", "itemData" : { "author" : [ { "dropping-particle" : "", "family" : "Sullivan DJ", "given" : "", "non-dropping-particle" : "", "parse-names" : false, "suffix" : "" } ], "id" : "ITEM-1", "issued" : { "date-parts" : [ [ "2012" ] ] }, "page" : "129-163", "title" : "Hemozoin: a biocrystal synthesized during the degradation of hemoglobin. In Biopolymers: Biopolymers and biodegradation of synthetic polymers. Wiley-VCH Verlag GmbH and Co. Weinheim, Germany", "type" : "article-journal" }, "uris" : [ "http://www.mendeley.com/documents/?uuid=b7610df4-95eb-4301-8df3-503b9c8b0c5c" ] }, { "id" : "ITEM-2", "itemData" : { "DOI" : "10.1016/j.lfs.2003.10.003", "ISBN" : "0024-3205", "ISSN" : "00243205", "PMID" : "14967191", "abstract" : "Two subclasses of quinoline antimalarial drugs are used clinically. Both act on the endolysosomal system of malaria parasites, but in different ways. Treatment with 4-aminoquinoline drugs, such as chloroquine, causes morphologic changes and hemoglobin accumulation in endocytic vesicles. Treatment with quinoline-4-methanol drugs, such as quinine and mefloquine, also causes morphologic changes, but does not cause hemoglobin accumulation. In addition, chloroquine causes undimerized ferriprotoporphyrin IX (ferric heme) to accumulate whereas quinine and mefloquine do not. On the contrary, treatment with quinine or mefloquine prevents and reverses chloroquine-induced accumulation of hemoglobin and undimerized ferriprotoporphyrin IX. This difference is of particular interest since there is convincing evidence that undimerized ferriprotoporphyrin IX in malaria parasites would interact with and serve as a target for chloroquine. According to the ferriprotoporphyrin IX interaction hypothesis, chloroquine would bind to undimerized ferriprotoporphyrin IX, delay its detoxification, cause it to accumulate, and allow it to exert its intrinsic biological toxicities. The ferriprotoporphyrin IX interaction hypothesis appears to explain the antimalarial action of chloroquine, but a drug target in addition to ferriprotoporphyrin IX is suggested by the antimalarial actions of quinine and mefloquine. This article summarizes current knowledge of the role of ferriprotoporphyrin IX in the antimalarial actions of quinoline drugs and evaluates the currently available evidence in support of phospholipids as a second target for quinine, mefloquine and, possibly, the chloroquine-ferriprotoporphyrin IX complex. \u00a9 2003 Elsevier Inc. All rights reserved.", "author" : [ { "dropping-particle" : "", "family" : "Fitch", "given" : "Coy D.", "non-dropping-particle" : "", "parse-names" : false, "suffix" : "" } ], "container-title" : "Life Sciences", "id" : "ITEM-2", "issue" : "16", "issued" : { "date-parts" : [ [ "2004" ] ] }, "page" : "1957-1972", "title" : "Ferriprotoporphyrin IX, phospholipids, and the antimalarial actions of quinoline drugs", "type" : "article-journal", "volume" : "74" }, "uris" : [ "http://www.mendeley.com/documents/?uuid=9d6b84c5-544e-4e69-a923-e9386895918e" ] } ], "mendeley" : { "formattedCitation" : "(Fitch, 2004; Sullivan DJ, 2012)", "plainTextFormattedCitation" : "(Fitch, 2004; Sullivan DJ, 2012)", "previouslyFormattedCitation" : "(Fitch, 2004; Sullivan DJ, 2012)" }, "properties" : {  }, "schema" : "https://github.com/citation-style-language/schema/raw/master/csl-citation.json" }</w:instrText>
            </w:r>
            <w:r w:rsidR="00AA3003" w:rsidRPr="003C18B5">
              <w:rPr>
                <w:rFonts w:ascii="Arial" w:hAnsi="Arial" w:cs="Arial"/>
              </w:rPr>
              <w:fldChar w:fldCharType="separate"/>
            </w:r>
            <w:r w:rsidR="00AE66C1" w:rsidRPr="003C18B5">
              <w:rPr>
                <w:rFonts w:ascii="Arial" w:hAnsi="Arial" w:cs="Arial"/>
                <w:noProof/>
              </w:rPr>
              <w:t>(Fitch, 2004; Sullivan DJ, 2012)</w:t>
            </w:r>
            <w:r w:rsidR="00AA3003" w:rsidRPr="003C18B5">
              <w:rPr>
                <w:rFonts w:ascii="Arial" w:hAnsi="Arial" w:cs="Arial"/>
              </w:rPr>
              <w:fldChar w:fldCharType="end"/>
            </w:r>
            <w:r w:rsidRPr="003C18B5">
              <w:rPr>
                <w:rFonts w:ascii="Arial" w:hAnsi="Arial" w:cs="Arial"/>
              </w:rPr>
              <w:t>.</w:t>
            </w:r>
            <w:r w:rsidRPr="003C18B5">
              <w:rPr>
                <w:rFonts w:ascii="Arial" w:hAnsi="Arial" w:cs="Arial"/>
                <w:lang w:val="es-VE"/>
              </w:rPr>
              <w:t xml:space="preserve"> Una vez dentro de los glóbulos rojos el parásito </w:t>
            </w:r>
            <w:r w:rsidRPr="003C18B5">
              <w:rPr>
                <w:rFonts w:ascii="Arial" w:hAnsi="Arial" w:cs="Arial"/>
              </w:rPr>
              <w:t>introduce dentro de su vacuola digestiva, a través del proceso de pinocitosis, entre el 60 y 80% de la hemoglobina</w:t>
            </w:r>
            <w:r w:rsidR="00780B90" w:rsidRPr="003C18B5">
              <w:rPr>
                <w:rFonts w:ascii="Arial" w:hAnsi="Arial" w:cs="Arial"/>
              </w:rPr>
              <w:t xml:space="preserve"> </w:t>
            </w:r>
            <w:r w:rsidR="00F97D30" w:rsidRPr="003C18B5">
              <w:rPr>
                <w:rFonts w:ascii="Arial" w:hAnsi="Arial" w:cs="Arial"/>
              </w:rPr>
              <w:fldChar w:fldCharType="begin" w:fldLock="1"/>
            </w:r>
            <w:r w:rsidR="00492739" w:rsidRPr="003C18B5">
              <w:rPr>
                <w:rFonts w:ascii="Arial" w:hAnsi="Arial" w:cs="Arial"/>
              </w:rPr>
              <w:instrText>ADDIN CSL_CITATION { "citationItems" : [ { "id" : "ITEM-1", "itemData" : { "DOI" : "10.1042/bj3390363", "ISBN" : "0264-6021 (Print)\\r0264-6021 (Linking)", "ISSN" : "0264-6021", "PMID" : "10191268", "abstract" : "The malaria parasite feeds by degrading haemoglobin in an acidic food vacuole, producing free haem moieties as a by-product. The haem in oxyhaemoglobin is oxidized from the Fe(II) state to the Fe(III) state with the consequent production of an equimolar concentration of H # O # . We have analysed the fate of haem molecules in Plasmodium falciparum-infected erythrocytes and have found that only about one third of the haem is polymerized to form haemozoin. The remainder appears to be degraded by a non-enzymic process which leads to an accumulation of iron in the parasite. A possible route for degradation of the haem is by reacting with H # O # , and we show that, under conditions designed to resemble those found in the food vacuole, i.e., at pH 5.2 in the presence of protein, free haem undergoes rapid peroxidative decomposition. Chloroquine and quinacrine are shown to be efficient inhibitors of the peroxidative destruction of haem, while epiquinine, a quinoline compound INTRODUCTION", "author" : [ { "dropping-particle" : "", "family" : "LORIA", "given" : "Paul", "non-dropping-particle" : "", "parse-names" : false, "suffix" : "" }, { "dropping-particle" : "", "family" : "MILLER", "given" : "Susanne", "non-dropping-particle" : "", "parse-names" : false, "suffix" : "" }, { "dropping-particle" : "", "family" : "FOLEY", "given" : "Michael", "non-dropping-particle" : "", "parse-names" : false, "suffix" : "" }, { "dropping-particle" : "", "family" : "TILLEY", "given" : "Leann", "non-dropping-particle" : "", "parse-names" : false, "suffix" : "" } ], "container-title" : "Biochemical Journal", "id" : "ITEM-1", "issue" : "2", "issued" : { "date-parts" : [ [ "1999" ] ] }, "page" : "363-370", "title" : "Inhibition of the peroxidative degradation of haem as the basis of action of chloroquine and other quinoline antimalarials", "type" : "article-journal", "volume" : "339" }, "uris" : [ "http://www.mendeley.com/documents/?uuid=174c5e4b-75e3-4d61-9451-564fa8d98ee8" ] }, { "id" : "ITEM-2", "itemData" : { "DOI" : "10.1016/S0006-2952(98)00184-1", "ISBN" : "0006-2952 (Print)\\r0006-2952 (Linking)", "ISSN" : "00062952", "PMID" : "9825729", "abstract" : "We propose here a new and detailed model for the antimalarial action of chloroquine (CQ), based on the its ability to inhibit degradation of heme by glutathione. Heme, which is toxic to the malaria parasite, is formed when the intraerythrocytic malaria parasite ingests and digests inside its food vacuole its host cell cytosol, which consists mainly of hemoglobin. The parasite protects itself against the toxicity of heme by polymerizing some of it to insoluble hemozoin (HZ). We show here that in Plasmodium falciparum at the trophozoite stage only ca. 30% of the heme is converted into hemozoin. We suggest that nonpolymerized heme exits the food vacuole and is subsequently degraded by glutathione, as has been shown before for uninfected erythrocytes. Marginal amounts of free heme could be detected in the membrane fraction of infected cells but nowhere else. It is well established that CQ and amodiaquine (AQ) accumulate in the parasite's food vacuole and inhibit heme polymerization, thereby increasing its efflux out of the food vacuole. We found that these drugs competitively inhibit the degradation of heme by glutathione, thus allowing heme to accumulate in membranes. Incubation of intact infected cells with CQ and AQ results in a marked increase in membrane-associated heme in a dose- and time-dependent manner, and a relationship exists between membrane heme levels and the extent of parasite killing. Heme has been shown to disrupt the barrier properties of membranes and to upset ion homeostasis in CQ-treated malaria-infected cells. In agreement with the predictions of our model, increasing the cellular levels of glutathione leads to increased resistance to CQ, whereas decreasing them results in enhanced sensitivity to the drug. These results insinuate a novel mechanism of drug resistance. Copyright (C) 1998 Elsevier Science Inc.", "author" : [ { "dropping-particle" : "", "family" : "Ginsburg", "given" : "Hagai", "non-dropping-particle" : "", "parse-names" : false, "suffix" : "" }, { "dropping-particle" : "", "family" : "Famin", "given" : "Oleg", "non-dropping-particle" : "", "parse-names" : false, "suffix" : "" }, { "dropping-particle" : "", "family" : "Zhang", "given" : "Jianmin", "non-dropping-particle" : "", "parse-names" : false, "suffix" : "" }, { "dropping-particle" : "", "family" : "Krugliak", "given" : "Miriam", "non-dropping-particle" : "", "parse-names" : false, "suffix" : "" } ], "container-title" : "Biochemical Pharmacology", "id" : "ITEM-2", "issue" : "10", "issued" : { "date-parts" : [ [ "1998" ] ] }, "page" : "1305-1313", "title" : "Inhibition of glutathione-dependent degradation of heme by chloroquine and amodiaquine as a possible basis for their antimalarial mode of action", "type" : "article-journal", "volume" : "56" }, "uris" : [ "http://www.mendeley.com/documents/?uuid=4c34877a-39a4-4998-aa84-715f51f76f30" ] }, { "id" : "ITEM-3", "itemData" : { "author" : [ { "dropping-particle" : "", "family" : "Egan", "given" : "T. J.", "non-dropping-particle" : "", "parse-names" : false, "suffix" : "" } ], "container-title" : "Drug Design Reviews", "id" : "ITEM-3", "issue" : "1", "issued" : { "date-parts" : [ [ "2004" ] ] }, "page" : "93-110", "title" : "Haemozoin Formation as a Target for the Rational Design of New Antimalarials", "type" : "article-journal", "volume" : "1" }, "uris" : [ "http://www.mendeley.com/documents/?uuid=d9e4c1fe-45e2-40e6-8807-d13e2ff06ead" ] } ], "mendeley" : { "formattedCitation" : "(T. J. Egan, 2004; Hagai Ginsburg, Famin, Zhang, &amp; Krugliak, 1998; LORIA, MILLER, FOLEY, &amp; TILLEY, 1999)", "manualFormatting" : "(Egan, 2004; Hagai Ginsburg, Famin, Zhang, &amp; Krugliak, 1998; Loria, Miller, Foley, &amp; Tilley, 1999)", "plainTextFormattedCitation" : "(T. J. Egan, 2004; Hagai Ginsburg, Famin, Zhang, &amp; Krugliak, 1998; LORIA, MILLER, FOLEY, &amp; TILLEY, 1999)", "previouslyFormattedCitation" : "(T. J. Egan, 2004; Hagai Ginsburg, Famin, Zhang, &amp; Krugliak, 1998; LORIA, MILLER, FOLEY, &amp; TILLEY, 1999)" }, "properties" : {  }, "schema" : "https://github.com/citation-style-language/schema/raw/master/csl-citation.json" }</w:instrText>
            </w:r>
            <w:r w:rsidR="00F97D30" w:rsidRPr="003C18B5">
              <w:rPr>
                <w:rFonts w:ascii="Arial" w:hAnsi="Arial" w:cs="Arial"/>
              </w:rPr>
              <w:fldChar w:fldCharType="separate"/>
            </w:r>
            <w:r w:rsidR="009E78A1" w:rsidRPr="003C18B5">
              <w:rPr>
                <w:rFonts w:ascii="Arial" w:hAnsi="Arial" w:cs="Arial"/>
                <w:noProof/>
                <w:lang w:val="es-EC"/>
              </w:rPr>
              <w:t>(Egan, 2004; Hagai Ginsburg, Famin, Zhang, &amp; Krugliak, 1998; L</w:t>
            </w:r>
            <w:r w:rsidR="00E4532B" w:rsidRPr="003C18B5">
              <w:rPr>
                <w:rFonts w:ascii="Arial" w:hAnsi="Arial" w:cs="Arial"/>
                <w:noProof/>
                <w:lang w:val="es-EC"/>
              </w:rPr>
              <w:t>oria</w:t>
            </w:r>
            <w:r w:rsidR="009E78A1" w:rsidRPr="003C18B5">
              <w:rPr>
                <w:rFonts w:ascii="Arial" w:hAnsi="Arial" w:cs="Arial"/>
                <w:noProof/>
                <w:lang w:val="es-EC"/>
              </w:rPr>
              <w:t>, M</w:t>
            </w:r>
            <w:r w:rsidR="00E4532B" w:rsidRPr="003C18B5">
              <w:rPr>
                <w:rFonts w:ascii="Arial" w:hAnsi="Arial" w:cs="Arial"/>
                <w:noProof/>
                <w:lang w:val="es-EC"/>
              </w:rPr>
              <w:t>iller</w:t>
            </w:r>
            <w:r w:rsidR="009E78A1" w:rsidRPr="003C18B5">
              <w:rPr>
                <w:rFonts w:ascii="Arial" w:hAnsi="Arial" w:cs="Arial"/>
                <w:noProof/>
                <w:lang w:val="es-EC"/>
              </w:rPr>
              <w:t>, F</w:t>
            </w:r>
            <w:r w:rsidR="00E4532B" w:rsidRPr="003C18B5">
              <w:rPr>
                <w:rFonts w:ascii="Arial" w:hAnsi="Arial" w:cs="Arial"/>
                <w:noProof/>
                <w:lang w:val="es-EC"/>
              </w:rPr>
              <w:t>oley</w:t>
            </w:r>
            <w:r w:rsidR="009E78A1" w:rsidRPr="003C18B5">
              <w:rPr>
                <w:rFonts w:ascii="Arial" w:hAnsi="Arial" w:cs="Arial"/>
                <w:noProof/>
                <w:lang w:val="es-EC"/>
              </w:rPr>
              <w:t>, &amp; T</w:t>
            </w:r>
            <w:r w:rsidR="00E4532B" w:rsidRPr="003C18B5">
              <w:rPr>
                <w:rFonts w:ascii="Arial" w:hAnsi="Arial" w:cs="Arial"/>
                <w:noProof/>
                <w:lang w:val="es-EC"/>
              </w:rPr>
              <w:t>illey</w:t>
            </w:r>
            <w:r w:rsidR="009E78A1" w:rsidRPr="003C18B5">
              <w:rPr>
                <w:rFonts w:ascii="Arial" w:hAnsi="Arial" w:cs="Arial"/>
                <w:noProof/>
                <w:lang w:val="es-EC"/>
              </w:rPr>
              <w:t>, 1999)</w:t>
            </w:r>
            <w:r w:rsidR="00F97D30" w:rsidRPr="003C18B5">
              <w:rPr>
                <w:rFonts w:ascii="Arial" w:hAnsi="Arial" w:cs="Arial"/>
              </w:rPr>
              <w:fldChar w:fldCharType="end"/>
            </w:r>
            <w:r w:rsidRPr="003C18B5">
              <w:rPr>
                <w:rFonts w:ascii="Arial" w:hAnsi="Arial" w:cs="Arial"/>
                <w:lang w:val="es-EC"/>
              </w:rPr>
              <w:t xml:space="preserve"> para cumplir con dos propósitos: usarla como alimento y mantener la presión osmótica del glóbulo rojo.</w:t>
            </w:r>
            <w:r w:rsidR="009E78A1" w:rsidRPr="003C18B5">
              <w:rPr>
                <w:rFonts w:ascii="Arial" w:hAnsi="Arial" w:cs="Arial"/>
                <w:lang w:val="es-EC"/>
              </w:rPr>
              <w:t xml:space="preserve"> </w:t>
            </w:r>
            <w:r w:rsidR="009E78A1" w:rsidRPr="003C18B5">
              <w:rPr>
                <w:rFonts w:ascii="Arial" w:hAnsi="Arial" w:cs="Arial"/>
                <w:lang w:val="es-EC"/>
              </w:rPr>
              <w:fldChar w:fldCharType="begin" w:fldLock="1"/>
            </w:r>
            <w:r w:rsidR="009E78A1" w:rsidRPr="003C18B5">
              <w:rPr>
                <w:rFonts w:ascii="Arial" w:hAnsi="Arial" w:cs="Arial"/>
                <w:lang w:val="es-EC"/>
              </w:rPr>
              <w:instrText>ADDIN CSL_CITATION { "citationItems" : [ { "id" : "ITEM-1", "itemData" : { "author" : [ { "dropping-particle" : "", "family" : "Ginsburg", "given" : "H.", "non-dropping-particle" : "", "parse-names" : false, "suffix" : "" } ], "container-title" : "Blood cells", "id" : "ITEM-1", "issued" : { "date-parts" : [ [ "1990" ] ] }, "page" : "225-235", "title" : "Some reflections concerning host erythrocyte-malarial parasite interrelationships", "type" : "article-journal", "volume" : "16" }, "uris" : [ "http://www.mendeley.com/documents/?uuid=99d3a5e8-4db2-44c2-bfbd-9c5a934e3f94" ] }, { "id" : "ITEM-2", "itemData" : { "DOI" : "10.1182/blood-2002-08-2654", "ISBN" : "0006-4971", "ISSN" : "00064971", "PMID" : "12531811", "abstract" : "During their asexual reproduction cycle (about 48 hours) in human red cells, Plasmodium falciparum parasites consume most of the host cell hemoglobin, far more than they require for protein biosynthesis. They also induce a large increase in the permeability of the host cell plasma membrane to allow for an increased traffic of nutrients and waste products. Why do the parasites digest hemoglobin in such excess? And how can infected red cells retain their integrity for the duration of the asexual cycle when comparably permeabilized uninfected cells hemolyse earlier? To address these questions we encoded the multiplicity of factors known to influence host cell volume in a mathematical model of the homeostasis of a parasitized red cell. The predicted volume changes were subjected to thorough experimental tests by monitoring the stage-related changes in the osmotic fragility of infected red cell populations. The results supported the model predictions of biphasic volume changes comprising transient shrinkage of infected cells with young trophozoites followed by continuous volume increase to about 10% lower than the critical hemolytic volume of approximately 150 fL by the end of the asexual cycle. Analysis of these results and of additional model predictions demonstrated that the osmotic stability of infected red cells can be preserved only by a large reduction in impermeant solute concentration within the host cell compartment. Thus, excess hemoglobin consumption represents an essential evolutionary strategy to prevent the premature hemolysis of the highly permeabilized infected red cell.", "author" : [ { "dropping-particle" : "", "family" : "Lew", "given" : "Virgilio L.", "non-dropping-particle" : "", "parse-names" : false, "suffix" : "" }, { "dropping-particle" : "", "family" : "Tiffert", "given" : "Teresa", "non-dropping-particle" : "", "parse-names" : false, "suffix" : "" }, { "dropping-particle" : "", "family" : "Ginsburg", "given" : "Hagai", "non-dropping-particle" : "", "parse-names" : false, "suffix" : "" } ], "container-title" : "Blood", "id" : "ITEM-2", "issue" : "10", "issued" : { "date-parts" : [ [ "2003" ] ] }, "page" : "4189-4194", "title" : "Excess hemoglobin digestion and the osmotic stability of Plasmodium falciparum - Infected red blood cells", "type" : "article-journal", "volume" : "101" }, "uris" : [ "http://www.mendeley.com/documents/?uuid=2c9a14b3-8c08-43ae-96f8-48280842356d" ] } ], "mendeley" : { "formattedCitation" : "(H. Ginsburg, 1990; Lew, Tiffert, &amp; Ginsburg, 2003)", "manualFormatting" : "(Ginsburg, 1990; Lew, Tiffert, &amp; Ginsburg, 2003)", "plainTextFormattedCitation" : "(H. Ginsburg, 1990; Lew, Tiffert, &amp; Ginsburg, 2003)", "previouslyFormattedCitation" : "(H. Ginsburg, 1990; Lew, Tiffert, &amp; Ginsburg, 2003)" }, "properties" : {  }, "schema" : "https://github.com/citation-style-language/schema/raw/master/csl-citation.json" }</w:instrText>
            </w:r>
            <w:r w:rsidR="009E78A1" w:rsidRPr="003C18B5">
              <w:rPr>
                <w:rFonts w:ascii="Arial" w:hAnsi="Arial" w:cs="Arial"/>
                <w:lang w:val="es-EC"/>
              </w:rPr>
              <w:fldChar w:fldCharType="separate"/>
            </w:r>
            <w:r w:rsidR="009E78A1" w:rsidRPr="003C18B5">
              <w:rPr>
                <w:rFonts w:ascii="Arial" w:hAnsi="Arial" w:cs="Arial"/>
                <w:noProof/>
                <w:lang w:val="es-EC"/>
              </w:rPr>
              <w:t>(Ginsburg, 1990; Lew, Tiffert, &amp; Ginsburg, 2003)</w:t>
            </w:r>
            <w:r w:rsidR="009E78A1" w:rsidRPr="003C18B5">
              <w:rPr>
                <w:rFonts w:ascii="Arial" w:hAnsi="Arial" w:cs="Arial"/>
                <w:lang w:val="es-EC"/>
              </w:rPr>
              <w:fldChar w:fldCharType="end"/>
            </w:r>
          </w:p>
          <w:p w:rsidR="005711AE" w:rsidRDefault="00D80260" w:rsidP="005711AE">
            <w:pPr>
              <w:spacing w:before="100" w:beforeAutospacing="1" w:after="100" w:afterAutospacing="1"/>
              <w:ind w:firstLine="572"/>
              <w:rPr>
                <w:rFonts w:ascii="Arial" w:hAnsi="Arial" w:cs="Arial"/>
                <w:bCs/>
                <w:iCs/>
                <w:lang w:val="es-VE"/>
              </w:rPr>
            </w:pPr>
            <w:r w:rsidRPr="003C18B5">
              <w:rPr>
                <w:rFonts w:ascii="Arial" w:hAnsi="Arial" w:cs="Arial"/>
                <w:lang w:val="es-EC"/>
              </w:rPr>
              <w:t>La hemoglobina ingerida se oxida a metahemoglobina, a pH ácido, con posterior degradación hidrolítica por una batería de enzimas proteolíticas que son activas al pH intravacuolar (pH 5-5,5)</w:t>
            </w:r>
            <w:r w:rsidR="00E03BDD" w:rsidRPr="003C18B5">
              <w:rPr>
                <w:rFonts w:ascii="Arial" w:hAnsi="Arial" w:cs="Arial"/>
                <w:lang w:val="es-EC"/>
              </w:rPr>
              <w:t xml:space="preserve"> </w:t>
            </w:r>
            <w:r w:rsidR="00007CC2" w:rsidRPr="003C18B5">
              <w:rPr>
                <w:rFonts w:ascii="Arial" w:hAnsi="Arial" w:cs="Arial"/>
                <w:lang w:val="es-EC"/>
              </w:rPr>
              <w:fldChar w:fldCharType="begin" w:fldLock="1"/>
            </w:r>
            <w:r w:rsidR="00007CC2" w:rsidRPr="003C18B5">
              <w:rPr>
                <w:rFonts w:ascii="Arial" w:hAnsi="Arial" w:cs="Arial"/>
                <w:lang w:val="es-EC"/>
              </w:rPr>
              <w:instrText>ADDIN CSL_CITATION { "citationItems" : [ { "id" : "ITEM-1", "itemData" : { "author" : [ { "dropping-particle" : "", "family" : "Krogstad", "given" : "D J", "non-dropping-particle" : "", "parse-names" : false, "suffix" : "" }, { "dropping-particle" : "", "family" : "Schlesinger", "given" : "P H", "non-dropping-particle" : "", "parse-names" : false, "suffix" : "" }, { "dropping-particle" : "", "family" : "Gluzman", "given" : "I Y", "non-dropping-particle" : "", "parse-names" : false, "suffix" : "" } ], "container-title" : "J.Cell. Biol.", "id" : "ITEM-1", "issue" : "December", "issued" : { "date-parts" : [ [ "1985" ] ] }, "page" : "2302-2309", "title" : "Antimalarials increase vescicle pH in Plasmodium falciparum", "type" : "article-journal", "volume" : "101" }, "uris" : [ "http://www.mendeley.com/documents/?uuid=a1df2505-b553-4ec6-9b27-75eda378f627" ] }, { "id" : "ITEM-2", "itemData" : { "DOI" : "10.1016/j.virol.2008.08.013.Mouse", "ISBN" : "1002622107", "ISSN" : "0027-8424", "PMID" : "17040905", "abstract" : "Toll-like receptors (TLRs) TLR1, TLR2, TLR4, and TLR6 are evolutionarily conserved, highly homologous, and localized to plasma membranes of host cells and recognize pathogen-associated molecular patterns (PAMPs) derived from bacterial membranes. These receptors cooperate in a pairwise combination to elicit or inhibit the inflammatory signals in response to certain PAMPs. The other TLRs that are evolutionarily closely related and highly homologous are TLR7, TLR8, and TLR9. They are all confined to the membranes of endosomes and recognize similar molecular structures, the oligonucleotide-based PAMPs. However, the cooperative interactions among these receptors that may modulate the inflammatory signaling in response to their cognate agonists are not reported. We report here for the first time the functional effects of one TLR on the other among TLR7, TLR8, and TLR9. The results indicate that TLR8 inhibits TLR7 and TLR9, and TLR9 inhibits TLR7 but not vice versa in HEK293 cells transfected with TLRs in a pairwise combination. This is concluded by selectively activating one TLR over the other by using small molecule TLR agonists. We also show that these inhibitory interactions are the result of direct or indirect physical interactions between the TLRs. The murine TLR8 that does not respond to any known human TLR8 agonists also inhibits both murine and human TLR7. The implications of the inhibitory interactions among these TLRs in host-pathogen recognition and subsequent inflammatory responses are not obvious. However, given the complexity in expression pattern in a particular cell type and the variation in distribution and response to different pathogens and stress signals in different cell types, the inhibitory physical interactions among these TLRs may play a role in balancing the inflammatory outcome from a given cell type to a specific challenge.", "author" : [ { "dropping-particle" : "", "family" : "Yayon", "given" : "A", "non-dropping-particle" : "", "parse-names" : false, "suffix" : "" }, { "dropping-particle" : "", "family" : "Cabantchik", "given" : "Z I", "non-dropping-particle" : "", "parse-names" : false, "suffix" : "" }, { "dropping-particle" : "", "family" : "Ginsburg", "given" : "H", "non-dropping-particle" : "", "parse-names" : false, "suffix" : "" } ], "container-title" : "Proceedings of the National Academy of Sciences of the United States of America", "id" : "ITEM-2", "issued" : { "date-parts" : [ [ "1985" ] ] }, "page" : "2784-2788", "title" : "Susceptibility of human malaria parasites to chloroquine is pH dependent.", "type" : "article-journal", "volume" : "82" }, "uris" : [ "http://www.mendeley.com/documents/?uuid=cd4a8629-a551-4b99-85ec-be22e8e45212" ] } ], "mendeley" : { "formattedCitation" : "(Krogstad, Schlesinger, &amp; Gluzman, 1985; Yayon, Cabantchik, &amp; Ginsburg, 1985)", "plainTextFormattedCitation" : "(Krogstad, Schlesinger, &amp; Gluzman, 1985; Yayon, Cabantchik, &amp; Ginsburg, 1985)", "previouslyFormattedCitation" : "(Krogstad, Schlesinger, &amp; Gluzman, 1985; Yayon, Cabantchik, &amp; Ginsburg, 1985)" }, "properties" : {  }, "schema" : "https://github.com/citation-style-language/schema/raw/master/csl-citation.json" }</w:instrText>
            </w:r>
            <w:r w:rsidR="00007CC2" w:rsidRPr="003C18B5">
              <w:rPr>
                <w:rFonts w:ascii="Arial" w:hAnsi="Arial" w:cs="Arial"/>
                <w:lang w:val="es-EC"/>
              </w:rPr>
              <w:fldChar w:fldCharType="separate"/>
            </w:r>
            <w:r w:rsidR="00007CC2" w:rsidRPr="003C18B5">
              <w:rPr>
                <w:rFonts w:ascii="Arial" w:hAnsi="Arial" w:cs="Arial"/>
                <w:noProof/>
                <w:lang w:val="es-EC"/>
              </w:rPr>
              <w:t>(Krogstad, Schlesinger, &amp; Gluzman, 1985; Yayon, Cabantchik, &amp; Ginsburg, 1985)</w:t>
            </w:r>
            <w:r w:rsidR="00007CC2" w:rsidRPr="003C18B5">
              <w:rPr>
                <w:rFonts w:ascii="Arial" w:hAnsi="Arial" w:cs="Arial"/>
                <w:lang w:val="es-EC"/>
              </w:rPr>
              <w:fldChar w:fldCharType="end"/>
            </w:r>
            <w:r w:rsidRPr="003C18B5">
              <w:rPr>
                <w:rFonts w:ascii="Arial" w:hAnsi="Arial" w:cs="Arial"/>
                <w:lang w:val="es-EC"/>
              </w:rPr>
              <w:t>,</w:t>
            </w:r>
            <w:r w:rsidRPr="003C18B5">
              <w:rPr>
                <w:rFonts w:ascii="Arial" w:hAnsi="Arial" w:cs="Arial"/>
                <w:vertAlign w:val="superscript"/>
                <w:lang w:val="es-EC"/>
              </w:rPr>
              <w:t xml:space="preserve"> </w:t>
            </w:r>
            <w:r w:rsidRPr="003C18B5">
              <w:rPr>
                <w:rFonts w:ascii="Arial" w:hAnsi="Arial" w:cs="Arial"/>
                <w:lang w:val="es-EC"/>
              </w:rPr>
              <w:t>generando hemo libre y globina desnaturalizada. Sin embargo, el hemo libre obtenido, también conocido como hematina o hidroxiferriprotoporfirina IX,  es muy tóxico debido a que puede generar especies reactivas de oxígeno como H</w:t>
            </w:r>
            <w:r w:rsidRPr="003C18B5">
              <w:rPr>
                <w:rFonts w:ascii="Arial" w:hAnsi="Arial" w:cs="Arial"/>
                <w:vertAlign w:val="subscript"/>
                <w:lang w:val="es-EC"/>
              </w:rPr>
              <w:t>2</w:t>
            </w:r>
            <w:r w:rsidRPr="003C18B5">
              <w:rPr>
                <w:rFonts w:ascii="Arial" w:hAnsi="Arial" w:cs="Arial"/>
                <w:lang w:val="es-EC"/>
              </w:rPr>
              <w:t>O</w:t>
            </w:r>
            <w:r w:rsidRPr="003C18B5">
              <w:rPr>
                <w:rFonts w:ascii="Arial" w:hAnsi="Arial" w:cs="Arial"/>
                <w:vertAlign w:val="subscript"/>
                <w:lang w:val="es-EC"/>
              </w:rPr>
              <w:t>2</w:t>
            </w:r>
            <w:r w:rsidRPr="003C18B5">
              <w:rPr>
                <w:rFonts w:ascii="Arial" w:hAnsi="Arial" w:cs="Arial"/>
                <w:lang w:val="es-EC"/>
              </w:rPr>
              <w:t xml:space="preserve">, radicales superóxido y radicales hidroxil que son mediadores directos de ciertos procesos bioquímicos que ocasionan la ruptura celular y la muerte del parásito. </w:t>
            </w:r>
          </w:p>
          <w:p w:rsidR="005711AE" w:rsidRDefault="00D80260" w:rsidP="005711AE">
            <w:pPr>
              <w:spacing w:before="100" w:beforeAutospacing="1" w:after="100" w:afterAutospacing="1"/>
              <w:ind w:firstLine="572"/>
              <w:rPr>
                <w:rFonts w:ascii="Arial" w:hAnsi="Arial" w:cs="Arial"/>
                <w:bCs/>
                <w:iCs/>
                <w:lang w:val="es-VE"/>
              </w:rPr>
            </w:pPr>
            <w:r w:rsidRPr="003C18B5">
              <w:rPr>
                <w:rFonts w:ascii="Arial" w:hAnsi="Arial" w:cs="Arial"/>
                <w:lang w:val="es-EC"/>
              </w:rPr>
              <w:t xml:space="preserve">Para superar la toxicidad del hemo libre, el parásito </w:t>
            </w:r>
            <w:r w:rsidRPr="003C18B5">
              <w:rPr>
                <w:rFonts w:ascii="Arial" w:hAnsi="Arial" w:cs="Arial"/>
                <w:i/>
                <w:lang w:val="es-EC"/>
              </w:rPr>
              <w:t>Plasmodium</w:t>
            </w:r>
            <w:r w:rsidRPr="003C18B5">
              <w:rPr>
                <w:rFonts w:ascii="Arial" w:hAnsi="Arial" w:cs="Arial"/>
                <w:lang w:val="es-EC"/>
              </w:rPr>
              <w:t xml:space="preserve"> está equipado con sistemas de desintoxicación.</w:t>
            </w:r>
            <w:r w:rsidR="00B31AB2" w:rsidRPr="003C18B5">
              <w:rPr>
                <w:rFonts w:ascii="Arial" w:hAnsi="Arial" w:cs="Arial"/>
                <w:lang w:val="es-EC"/>
              </w:rPr>
              <w:t xml:space="preserve"> </w:t>
            </w:r>
            <w:r w:rsidR="00492739" w:rsidRPr="003C18B5">
              <w:rPr>
                <w:rFonts w:ascii="Arial" w:hAnsi="Arial" w:cs="Arial"/>
                <w:lang w:val="es-EC"/>
              </w:rPr>
              <w:fldChar w:fldCharType="begin" w:fldLock="1"/>
            </w:r>
            <w:r w:rsidR="00F234B1" w:rsidRPr="003C18B5">
              <w:rPr>
                <w:rFonts w:ascii="Arial" w:hAnsi="Arial" w:cs="Arial"/>
                <w:lang w:val="es-EC"/>
              </w:rPr>
              <w:instrText>ADDIN CSL_CITATION { "citationItems" : [ { "id" : "ITEM-1", "itemData" : { "author" : [ { "dropping-particle" : "", "family" : "Sullivan DJ", "given" : "", "non-dropping-particle" : "", "parse-names" : false, "suffix" : "" } ], "id" : "ITEM-1", "issued" : { "date-parts" : [ [ "2012" ] ] }, "page" : "129-163", "title" : "Hemozoin: a biocrystal synthesized during the degradation of hemoglobin. In Biopolymers: Biopolymers and biodegradation of synthetic polymers. Wiley-VCH Verlag GmbH and Co. Weinheim, Germany", "type" : "article-journal" }, "uris" : [ "http://www.mendeley.com/documents/?uuid=b7610df4-95eb-4301-8df3-503b9c8b0c5c" ] }, { "id" : "ITEM-2", "itemData" : { "author" : [ { "dropping-particle" : "", "family" : "Bendrat K, Berger BJ, Cerami", "given" : "A.", "non-dropping-particle" : "", "parse-names" : false, "suffix" : "" } ], "container-title" : "Nature", "id" : "ITEM-2", "issued" : { "date-parts" : [ [ "1995" ] ] }, "page" : "138-139", "title" : "Haem polymerization in malaria", "type" : "article-journal", "volume" : "378" }, "uris" : [ "http://www.mendeley.com/documents/?uuid=fefd371c-8de0-48cf-9eb5-d5da0bf8e5a1" ] }, { "id" : "ITEM-3", "itemData" : { "DOI" : "10.1074/jbc.272.2.713", "ISBN" : "3077662795", "ISSN" : "00219258", "PMID" : "8995354", "abstract" : "In a process inhibited by the quinoline antimalarial drugs, Plasmodia detoxify heme released during the degradation of hemoglobin by aggregating it into malarial pigment, an insoluble crystalline heme coordination polymer. Synchrotron x-ray powder diffraction patterns for intact desiccated malarial trophozoites and synthetic beta-hematin have been measured; both materials correspond to a single crystalline triclinic lattice with unit cell parameters a = 12.2176(4), b = 14.7184(5), c = 8.0456(3) A; alpha = 90.200(2), beta = 96.806(3), gamma = 97.818(3) degrees and Z = 2. These results unambiguously demonstrate that hemozoin crystallites are identical to synthetic beta-hematin.", "author" : [ { "dropping-particle" : "", "family" : "Bohle", "given" : "D. Scott", "non-dropping-particle" : "", "parse-names" : false, "suffix" : "" }, { "dropping-particle" : "", "family" : "Dinnebier", "given" : "Robert E.", "non-dropping-particle" : "", "parse-names" : false, "suffix" : "" }, { "dropping-particle" : "", "family" : "Madsen", "given" : "Sara K.", "non-dropping-particle" : "", "parse-names" : false, "suffix" : "" }, { "dropping-particle" : "", "family" : "Stephens", "given" : "Peter W.", "non-dropping-particle" : "", "parse-names" : false, "suffix" : "" } ], "container-title" : "Journal of Biological Chemistry", "id" : "ITEM-3", "issue" : "2", "issued" : { "date-parts" : [ [ "1997" ] ] }, "page" : "713-716", "title" : "Characterization of the products of the heme detoxification pathway in malarial late trophozoites by X-ray diffraction", "type" : "article-journal", "volume" : "272" }, "uris" : [ "http://www.mendeley.com/documents/?uuid=514f2bb8-4dbe-4cb0-bbf8-3276747a049d" ] }, { "id" : "ITEM-4", "itemData" : { "DOI" : "10.1016/j.molbiopara.2007.11.005", "ISBN" : "0166-6851 (Print)\\r0166-6851 (Linking)", "ISSN" : "01666851", "PMID" : "18083247", "abstract" : "Formation of malaria pigment or haemozoin is the major route of haem detoxification in the malaria parasite Plasmodium falciparum as well as several other species of haematophagous organisms, including other Plasmodium species, helminth worms such as Schistosoma mansoni and blood-sucking insects such as Rhodnius prolixus. Recent advances in our understanding of the formation of haemozoin, both from new observations that it is formed within lipid bodies in P. falciparum and S. mansoni and biomimetic studies on the formation of its synthetic counterpart \u03b2-haematin are reviewed. The review also covers methods available for screening compounds for their ability to inhibit \u03b2-haematin formation. \u00a9 2007 Elsevier B.V. All rights reserved.", "author" : [ { "dropping-particle" : "", "family" : "Egan", "given" : "TJ.", "non-dropping-particle" : "", "parse-names" : false, "suffix" : "" } ], "container-title" : "Molecular and Biochemical Parasitology", "id" : "ITEM-4", "issue" : "2", "issued" : { "date-parts" : [ [ "2008" ] ] }, "page" : "127-136", "title" : "Haemozoin formation", "type" : "article-journal", "volume" : "157" }, "uris" : [ "http://www.mendeley.com/documents/?uuid=816dedb1-f1c6-4a58-88bb-a0af8d825e61" ] }, { "id" : "ITEM-5", "itemData" : { "DOI" : "https://doi.org/10.1371/journal.pone.0012694", "author" : [ { "dropping-particle" : "", "family" : "Oliveira M, Stiebler R, Hoang AN, Wright D", "given" : "Egan TJ.", "non-dropping-particle" : "", "parse-names" : false, "suffix" : "" } ], "container-title" : "PloS One", "id" : "ITEM-5", "issued" : { "date-parts" : [ [ "2010" ] ] }, "page" : "1-9", "title" : "Increase on the initial soluble heme levels in acidic conditions is an important mechanism for spontaneous heme crystallization in vitro", "type" : "article-journal", "volume" : "5" }, "uris" : [ "http://www.mendeley.com/documents/?uuid=59daf849-cfae-42d8-940a-8e5e87fd1dfd" ] } ], "mendeley" : { "formattedCitation" : "(Bendrat K, Berger BJ, Cerami, 1995; Bohle, Dinnebier, Madsen, &amp; Stephens, 1997; T. Egan, 2008; Oliveira M, Stiebler R, Hoang AN, Wright D, 2010; Sullivan DJ, 2012)", "plainTextFormattedCitation" : "(Bendrat K, Berger BJ, Cerami, 1995; Bohle, Dinnebier, Madsen, &amp; Stephens, 1997; T. Egan, 2008; Oliveira M, Stiebler R, Hoang AN, Wright D, 2010; Sullivan DJ, 2012)", "previouslyFormattedCitation" : "(Bendrat K, Berger BJ, Cerami, 1995; Bohle, Dinnebier, Madsen, &amp; Stephens, 1997; T. Egan, 2008; Oliveira M, Stiebler R, Hoang AN, Wright D, 2010; Sullivan DJ, 2012)" }, "properties" : {  }, "schema" : "https://github.com/citation-style-language/schema/raw/master/csl-citation.json" }</w:instrText>
            </w:r>
            <w:r w:rsidR="00492739" w:rsidRPr="003C18B5">
              <w:rPr>
                <w:rFonts w:ascii="Arial" w:hAnsi="Arial" w:cs="Arial"/>
                <w:lang w:val="es-EC"/>
              </w:rPr>
              <w:fldChar w:fldCharType="separate"/>
            </w:r>
            <w:r w:rsidR="00F234B1" w:rsidRPr="003C18B5">
              <w:rPr>
                <w:rFonts w:ascii="Arial" w:hAnsi="Arial" w:cs="Arial"/>
                <w:noProof/>
                <w:lang w:val="en-US"/>
              </w:rPr>
              <w:t>(Bendrat K, Berger BJ, Cerami, 1995; Bohle, Dinnebier, Madsen, &amp; Stephens, 1997; T. Egan, 2008; Oliveira M, Stiebler R, Hoang AN, Wright D, 2010; Sullivan DJ, 2012)</w:t>
            </w:r>
            <w:r w:rsidR="00492739" w:rsidRPr="003C18B5">
              <w:rPr>
                <w:rFonts w:ascii="Arial" w:hAnsi="Arial" w:cs="Arial"/>
                <w:lang w:val="es-EC"/>
              </w:rPr>
              <w:fldChar w:fldCharType="end"/>
            </w:r>
            <w:r w:rsidR="00492739" w:rsidRPr="003C18B5">
              <w:rPr>
                <w:rFonts w:ascii="Arial" w:hAnsi="Arial" w:cs="Arial"/>
                <w:lang w:val="en-US"/>
              </w:rPr>
              <w:t>.</w:t>
            </w:r>
            <w:r w:rsidRPr="003C18B5">
              <w:rPr>
                <w:rFonts w:ascii="Arial" w:hAnsi="Arial" w:cs="Arial"/>
                <w:lang w:val="en-US"/>
              </w:rPr>
              <w:t xml:space="preserve"> </w:t>
            </w:r>
            <w:r w:rsidRPr="003C18B5">
              <w:rPr>
                <w:rFonts w:ascii="Arial" w:hAnsi="Arial" w:cs="Arial"/>
                <w:lang w:val="es-EC"/>
              </w:rPr>
              <w:t xml:space="preserve">Dichos sistemas se pueden dar dentro de la vacuola digestiva o en el citoplasma, convirtiendo al hemo tóxico en </w:t>
            </w:r>
            <w:r w:rsidRPr="003C18B5">
              <w:rPr>
                <w:rFonts w:ascii="Arial" w:hAnsi="Arial" w:cs="Arial"/>
                <w:lang w:val="es-VE"/>
              </w:rPr>
              <w:t>β</w:t>
            </w:r>
            <w:r w:rsidRPr="003C18B5">
              <w:rPr>
                <w:rFonts w:ascii="Arial" w:hAnsi="Arial" w:cs="Arial"/>
                <w:lang w:val="es-EC"/>
              </w:rPr>
              <w:t xml:space="preserve">-hematina/hemozoína, no tóxica, a través de un mecanismo conocido como formación de hemozoína, considerado el mecanismo más importante para la desintoxicación del hemo libre en el </w:t>
            </w:r>
            <w:r w:rsidRPr="003C18B5">
              <w:rPr>
                <w:rFonts w:ascii="Arial" w:hAnsi="Arial" w:cs="Arial"/>
                <w:i/>
                <w:lang w:val="es-EC"/>
              </w:rPr>
              <w:t>Plasmodium</w:t>
            </w:r>
            <w:r w:rsidRPr="003C18B5">
              <w:rPr>
                <w:rFonts w:ascii="Arial" w:hAnsi="Arial" w:cs="Arial"/>
                <w:lang w:val="es-EC"/>
              </w:rPr>
              <w:t>.</w:t>
            </w:r>
            <w:r w:rsidR="00F234B1" w:rsidRPr="003C18B5">
              <w:rPr>
                <w:rFonts w:ascii="Arial" w:hAnsi="Arial" w:cs="Arial"/>
                <w:lang w:val="es-EC"/>
              </w:rPr>
              <w:t xml:space="preserve"> </w:t>
            </w:r>
            <w:r w:rsidR="00F234B1" w:rsidRPr="003C18B5">
              <w:rPr>
                <w:rFonts w:ascii="Arial" w:hAnsi="Arial" w:cs="Arial"/>
                <w:lang w:val="es-EC"/>
              </w:rPr>
              <w:fldChar w:fldCharType="begin" w:fldLock="1"/>
            </w:r>
            <w:r w:rsidR="00F234B1" w:rsidRPr="003C18B5">
              <w:rPr>
                <w:rFonts w:ascii="Arial" w:hAnsi="Arial" w:cs="Arial"/>
                <w:lang w:val="es-EC"/>
              </w:rPr>
              <w:instrText>ADDIN CSL_CITATION { "citationItems" : [ { "id" : "ITEM-1", "itemData" : { "DOI" : "10.1038/35005132", "ISBN" : "0028-0836 (Print)\\n0028-0836 (Linking)", "ISSN" : "00280836", "PMID" : "10749217", "abstract" : "Despite the worldwide public health impact of malaria, neither the mechanism by which the Plasmodium parasite detoxifies and sequesters haem, nor the action of current antimalarial drugs is well understood. The haem groups released from the digestion of the haemoglobin of infected red blood cells are aggregated into an insoluble material called haemozoin or malaria pigment. Synthetic beta-haematin (FeIII-protoporphyrin-IX)2 is chemically, spectroscopically and crystallographically identical to haemozoin and is believed to consist of strands of FeIII-porphyrin units, linked into a polymer by propionate oxygen-iron bonds. Here we report the crystal structure of beta-haematin determined using simulated annealing techniques to analyse powder diffraction data obtained with synchrotron radiation. The molecules are linked into dimers through reciprocal iron-carboxylate bonds to one of the propionic side chains of each porphyrin, and the dimers form chains linked by hydrogen bonds in the crystal. This result has implications for understanding the action of current antimalarial drugs and possibly for the design of new therapeutic agents.", "author" : [ { "dropping-particle" : "", "family" : "Pagola", "given" : "Silvina", "non-dropping-particle" : "", "parse-names" : false, "suffix" : "" }, { "dropping-particle" : "", "family" : "Stephens", "given" : "Peter W.", "non-dropping-particle" : "", "parse-names" : false, "suffix" : "" }, { "dropping-particle" : "", "family" : "Bohle", "given" : "D. Scott", "non-dropping-particle" : "", "parse-names" : false, "suffix" : "" }, { "dropping-particle" : "", "family" : "Kosar", "given" : "Andrew D.", "non-dropping-particle" : "", "parse-names" : false, "suffix" : "" }, { "dropping-particle" : "", "family" : "Madsen", "given" : "Sara K.", "non-dropping-particle" : "", "parse-names" : false, "suffix" : "" } ], "container-title" : "Nature", "id" : "ITEM-1", "issue" : "6775", "issued" : { "date-parts" : [ [ "2000" ] ] }, "page" : "307-310", "title" : "The structure of malaria pigment ??-haematin", "type" : "article-journal", "volume" : "404" }, "uris" : [ "http://www.mendeley.com/documents/?uuid=9c6a3956-14cc-4740-ad32-55b29ed2a8cb" ] }, { "id" : "ITEM-2", "itemData" : { "author" : [ { "dropping-particle" : "", "family" : "Bendrat K, Berger BJ, Cerami", "given" : "A.", "non-dropping-particle" : "", "parse-names" : false, "suffix" : "" } ], "container-title" : "Nature", "id" : "ITEM-2", "issued" : { "date-parts" : [ [ "1995" ] ] }, "page" : "138-139", "title" : "Haem polymerization in malaria", "type" : "article-journal", "volume" : "378" }, "uris" : [ "http://www.mendeley.com/documents/?uuid=fefd371c-8de0-48cf-9eb5-d5da0bf8e5a1" ] } ], "mendeley" : { "formattedCitation" : "(Bendrat K, Berger BJ, Cerami, 1995; Pagola, Stephens, Bohle, Kosar, &amp; Madsen, 2000)", "plainTextFormattedCitation" : "(Bendrat K, Berger BJ, Cerami, 1995; Pagola, Stephens, Bohle, Kosar, &amp; Madsen, 2000)", "previouslyFormattedCitation" : "(Bendrat K, Berger BJ, Cerami, 1995; Pagola, Stephens, Bohle, Kosar, &amp; Madsen, 2000)" }, "properties" : {  }, "schema" : "https://github.com/citation-style-language/schema/raw/master/csl-citation.json" }</w:instrText>
            </w:r>
            <w:r w:rsidR="00F234B1" w:rsidRPr="003C18B5">
              <w:rPr>
                <w:rFonts w:ascii="Arial" w:hAnsi="Arial" w:cs="Arial"/>
                <w:lang w:val="es-EC"/>
              </w:rPr>
              <w:fldChar w:fldCharType="separate"/>
            </w:r>
            <w:r w:rsidR="00F234B1" w:rsidRPr="003C18B5">
              <w:rPr>
                <w:rFonts w:ascii="Arial" w:hAnsi="Arial" w:cs="Arial"/>
                <w:noProof/>
                <w:lang w:val="es-EC"/>
              </w:rPr>
              <w:t>(Bendrat K, Berger BJ, Cerami, 1995; Pagola, Stephens, Bohle, Kosar, &amp; Madsen, 2000)</w:t>
            </w:r>
            <w:r w:rsidR="00F234B1" w:rsidRPr="003C18B5">
              <w:rPr>
                <w:rFonts w:ascii="Arial" w:hAnsi="Arial" w:cs="Arial"/>
                <w:lang w:val="es-EC"/>
              </w:rPr>
              <w:fldChar w:fldCharType="end"/>
            </w:r>
            <w:r w:rsidR="00F234B1" w:rsidRPr="003C18B5">
              <w:rPr>
                <w:rFonts w:ascii="Arial" w:hAnsi="Arial" w:cs="Arial"/>
                <w:lang w:val="es-EC"/>
              </w:rPr>
              <w:t>.</w:t>
            </w:r>
          </w:p>
          <w:p w:rsidR="00D80260" w:rsidRPr="005711AE" w:rsidRDefault="00D80260" w:rsidP="005711AE">
            <w:pPr>
              <w:spacing w:before="100" w:beforeAutospacing="1" w:after="100" w:afterAutospacing="1"/>
              <w:ind w:firstLine="572"/>
              <w:rPr>
                <w:rFonts w:ascii="Arial" w:hAnsi="Arial" w:cs="Arial"/>
                <w:bCs/>
                <w:iCs/>
                <w:lang w:val="es-VE"/>
              </w:rPr>
            </w:pPr>
            <w:r w:rsidRPr="003C18B5">
              <w:rPr>
                <w:rFonts w:ascii="Arial" w:hAnsi="Arial" w:cs="Arial"/>
                <w:lang w:val="es-EC"/>
              </w:rPr>
              <w:t>El conocimiento de la formación de hemozoína como proceso metabólico esencial de la biología del parásito ha sido empleado para disminuir el desarrollo de la patogenia a través del diseño de compuestos inhibidores de este proceso de protección. La cloroquina (1) ha sido la droga sintética más importante en la historia del trat</w:t>
            </w:r>
            <w:r w:rsidRPr="003C18B5">
              <w:rPr>
                <w:rFonts w:ascii="Arial" w:hAnsi="Arial" w:cs="Arial"/>
                <w:lang w:val="en-US"/>
              </w:rPr>
              <w:t>ami</w:t>
            </w:r>
            <w:r w:rsidRPr="003C18B5">
              <w:rPr>
                <w:rFonts w:ascii="Arial" w:hAnsi="Arial" w:cs="Arial"/>
              </w:rPr>
              <w:t xml:space="preserve">ento de la malaria, </w:t>
            </w:r>
            <w:r w:rsidRPr="003C18B5">
              <w:rPr>
                <w:rFonts w:ascii="Arial" w:hAnsi="Arial" w:cs="Arial"/>
                <w:lang w:val="es-ES_tradnl"/>
              </w:rPr>
              <w:t xml:space="preserve">debido a su eficiencia, tolerancia, bajo costo y viabilidad. Sin embargo la resistencia a múltiples drogas desarrollada por el parásito en los últimos años ha representado el principal problema en la </w:t>
            </w:r>
            <w:r w:rsidRPr="003C18B5">
              <w:rPr>
                <w:rFonts w:ascii="Arial" w:hAnsi="Arial" w:cs="Arial"/>
                <w:lang w:val="es-ES_tradnl"/>
              </w:rPr>
              <w:lastRenderedPageBreak/>
              <w:t>lucha contra esta enfermedad.</w:t>
            </w:r>
            <w:r w:rsidR="00F234B1" w:rsidRPr="003C18B5">
              <w:rPr>
                <w:rFonts w:ascii="Arial" w:hAnsi="Arial" w:cs="Arial"/>
                <w:lang w:val="es-ES_tradnl"/>
              </w:rPr>
              <w:t xml:space="preserve"> </w:t>
            </w:r>
            <w:r w:rsidR="004F0A6E" w:rsidRPr="003C18B5">
              <w:rPr>
                <w:rFonts w:ascii="Arial" w:hAnsi="Arial" w:cs="Arial"/>
                <w:lang w:val="es-ES_tradnl"/>
              </w:rPr>
              <w:fldChar w:fldCharType="begin" w:fldLock="1"/>
            </w:r>
            <w:r w:rsidR="004F0A6E" w:rsidRPr="003C18B5">
              <w:rPr>
                <w:rFonts w:ascii="Arial" w:hAnsi="Arial" w:cs="Arial"/>
                <w:lang w:val="es-ES_tradnl"/>
              </w:rPr>
              <w:instrText>ADDIN CSL_CITATION { "citationItems" : [ { "id" : "ITEM-1", "itemData" : { "author" : [ { "dropping-particle" : "", "family" : "Hastings, I; Watkins", "given" : "W", "non-dropping-particle" : "", "parse-names" : false, "suffix" : "" } ], "container-title" : "TRENDS in Parasitology", "id" : "ITEM-1", "issued" : { "date-parts" : [ [ "2006" ] ] }, "page" : "71-77", "title" : "Tolerance is the key to understanding antimalarial drug resistance", "type" : "article-journal", "volume" : "22" }, "uris" : [ "http://www.mendeley.com/documents/?uuid=d26abff7-2a8b-4be3-8fb9-223fb159c0e3" ] }, { "id" : "ITEM-2", "itemData" : { "author" : [ { "dropping-particle" : "", "family" : "Hastings", "given" : "I.", "non-dropping-particle" : "", "parse-names" : false, "suffix" : "" } ], "container-title" : "TRENDS in Parasitology", "id" : "ITEM-2", "issued" : { "date-parts" : [ [ "2004" ] ] }, "page" : "512-518", "title" : "The origins of antimalarial drug Resistance", "type" : "article-journal", "volume" : "20" }, "uris" : [ "http://www.mendeley.com/documents/?uuid=dde570eb-0d6a-485a-bc13-2ab2bd2bbfa0" ] } ], "mendeley" : { "formattedCitation" : "(Hastings, I; Watkins, 2006; Hastings, 2004)", "plainTextFormattedCitation" : "(Hastings, I; Watkins, 2006; Hastings, 2004)", "previouslyFormattedCitation" : "(Hastings, I; Watkins, 2006; Hastings, 2004)" }, "properties" : {  }, "schema" : "https://github.com/citation-style-language/schema/raw/master/csl-citation.json" }</w:instrText>
            </w:r>
            <w:r w:rsidR="004F0A6E" w:rsidRPr="003C18B5">
              <w:rPr>
                <w:rFonts w:ascii="Arial" w:hAnsi="Arial" w:cs="Arial"/>
                <w:lang w:val="es-ES_tradnl"/>
              </w:rPr>
              <w:fldChar w:fldCharType="separate"/>
            </w:r>
            <w:r w:rsidR="004F0A6E" w:rsidRPr="003C18B5">
              <w:rPr>
                <w:rFonts w:ascii="Arial" w:hAnsi="Arial" w:cs="Arial"/>
                <w:noProof/>
                <w:lang w:val="es-ES_tradnl"/>
              </w:rPr>
              <w:t>(Hastings, I; Watkins, 2006; Hastings, 2004)</w:t>
            </w:r>
            <w:r w:rsidR="004F0A6E" w:rsidRPr="003C18B5">
              <w:rPr>
                <w:rFonts w:ascii="Arial" w:hAnsi="Arial" w:cs="Arial"/>
                <w:lang w:val="es-ES_tradnl"/>
              </w:rPr>
              <w:fldChar w:fldCharType="end"/>
            </w:r>
          </w:p>
          <w:p w:rsidR="00D80260" w:rsidRPr="005711AE" w:rsidRDefault="00D80260" w:rsidP="005711AE">
            <w:pPr>
              <w:ind w:firstLine="708"/>
              <w:jc w:val="center"/>
              <w:rPr>
                <w:rFonts w:ascii="Arial" w:hAnsi="Arial" w:cs="Arial"/>
                <w:lang w:val="es-ES_tradnl"/>
              </w:rPr>
            </w:pPr>
            <w:r w:rsidRPr="003C18B5">
              <w:rPr>
                <w:rFonts w:ascii="Arial" w:hAnsi="Arial" w:cs="Arial"/>
              </w:rPr>
              <w:object w:dxaOrig="4147" w:dyaOrig="2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5.4pt;height:78.25pt" o:ole="">
                  <v:imagedata r:id="rId22" o:title=""/>
                </v:shape>
                <o:OLEObject Type="Embed" ProgID="ACD.ChemSketch.20" ShapeID="_x0000_i1028" DrawAspect="Content" ObjectID="_1574214137" r:id="rId23"/>
              </w:object>
            </w:r>
          </w:p>
          <w:p w:rsidR="00D80260" w:rsidRPr="003C18B5" w:rsidRDefault="00D80260" w:rsidP="005711AE">
            <w:pPr>
              <w:jc w:val="center"/>
              <w:rPr>
                <w:rFonts w:ascii="Arial" w:hAnsi="Arial" w:cs="Arial"/>
                <w:b/>
                <w:lang w:val="es-VE"/>
              </w:rPr>
            </w:pPr>
            <w:r w:rsidRPr="003C18B5">
              <w:rPr>
                <w:rFonts w:ascii="Arial" w:hAnsi="Arial" w:cs="Arial"/>
                <w:b/>
                <w:lang w:val="es-VE"/>
              </w:rPr>
              <w:t>1</w:t>
            </w:r>
          </w:p>
          <w:p w:rsidR="005711AE" w:rsidRDefault="00D80260" w:rsidP="005711AE">
            <w:pPr>
              <w:ind w:firstLine="572"/>
              <w:rPr>
                <w:rFonts w:ascii="Arial" w:hAnsi="Arial" w:cs="Arial"/>
              </w:rPr>
            </w:pPr>
            <w:r w:rsidRPr="003C18B5">
              <w:rPr>
                <w:rFonts w:ascii="Arial" w:hAnsi="Arial" w:cs="Arial"/>
                <w:lang w:val="es-ES_tradnl"/>
              </w:rPr>
              <w:t>Una serie de investigadores se han dado a la tarea de realizar modificaciones de la estructura de la cloroquina con la finalidad de lograr determinar el principal modulador de resistencia y así diseñar un compuesto que prolongue su vida útil como antimalárico.</w:t>
            </w:r>
            <w:r w:rsidRPr="003C18B5">
              <w:rPr>
                <w:rFonts w:ascii="Arial" w:hAnsi="Arial" w:cs="Arial"/>
              </w:rPr>
              <w:t xml:space="preserve"> Diversos estudios han demostrado que la resistencia a la CQ puede ser modulada por la cadena lateral en la posición 4, encontrándose que cambios electrostáticos y estéricos sobre esta cadena contrarrestan la liberación excesiva de CQ desde la vacuola alimenticia, debido posiblemente a una disminución de la afinidad de enlace de los análogos de CQ por la proteína PfCRT.</w:t>
            </w:r>
            <w:r w:rsidR="00DC715B" w:rsidRPr="003C18B5">
              <w:rPr>
                <w:rFonts w:ascii="Arial" w:hAnsi="Arial" w:cs="Arial"/>
              </w:rPr>
              <w:t xml:space="preserve"> </w:t>
            </w:r>
            <w:r w:rsidR="00DC715B" w:rsidRPr="003C18B5">
              <w:rPr>
                <w:rFonts w:ascii="Arial" w:hAnsi="Arial" w:cs="Arial"/>
              </w:rPr>
              <w:fldChar w:fldCharType="begin" w:fldLock="1"/>
            </w:r>
            <w:r w:rsidR="00DC715B" w:rsidRPr="003C18B5">
              <w:rPr>
                <w:rFonts w:ascii="Arial" w:hAnsi="Arial" w:cs="Arial"/>
              </w:rPr>
              <w:instrText>ADDIN CSL_CITATION { "citationItems" : [ { "id" : "ITEM-1", "itemData" : { "DOI" : "10.1021/jm0600951", "ISBN" : "9014955715", "ISSN" : "00222623", "PMID" : "16854059", "abstract" : "Previous data showing that several chloroquine analogues containing an intramolecular hydrogen-bonding motif were potent against multidrug-resistant P. falciparum led to the exploration of the importance of this motif. A series of 116 compounds containing four different alkyl linkers and various aromatic substitutions with hydrogen bond accepting capability was synthesized. The series showed broad potency against the drug-resistant W2 strain of P. falciparum. In particular, a novel series containing variations of the alpha-aminocresol motif gave eight compounds with IC50 values more potent than 5 nM against the W2 strain. Such simple modifications, significantly altering the pKa and sterics of the basic side chain in chloroquine analogues, may prove to be part of a strategy for overcoming the problem of worldwide resistance to affordable antimalarial drugs.", "author" : [ { "dropping-particle" : "", "family" : "Madrid", "given" : "Peter B.", "non-dropping-particle" : "", "parse-names" : false, "suffix" : "" }, { "dropping-particle" : "", "family" : "Liou", "given" : "Ally P.", "non-dropping-particle" : "", "parse-names" : false, "suffix" : "" }, { "dropping-particle" : "", "family" : "DeRisi", "given" : "Joseph L.", "non-dropping-particle" : "", "parse-names" : false, "suffix" : "" }, { "dropping-particle" : "", "family" : "Guy", "given" : "R. Kiplin", "non-dropping-particle" : "", "parse-names" : false, "suffix" : "" } ], "container-title" : "Journal of Medicinal Chemistry", "id" : "ITEM-1", "issue" : "15", "issued" : { "date-parts" : [ [ "2006" ] ] }, "page" : "4535-4543", "title" : "Incorporation of an intramolecular hydrogen-bonding motif in the side chain of 4-aminoquinolines enhances activity against drug-resistant P. falciparum", "type" : "article-journal", "volume" : "49" }, "uris" : [ "http://www.mendeley.com/documents/?uuid=9ffc0783-ad96-4084-86c0-4d1a472c8f88" ] } ], "mendeley" : { "formattedCitation" : "(Madrid, Liou, DeRisi, &amp; Guy, 2006)", "plainTextFormattedCitation" : "(Madrid, Liou, DeRisi, &amp; Guy, 2006)", "previouslyFormattedCitation" : "(Madrid, Liou, DeRisi, &amp; Guy, 2006)" }, "properties" : {  }, "schema" : "https://github.com/citation-style-language/schema/raw/master/csl-citation.json" }</w:instrText>
            </w:r>
            <w:r w:rsidR="00DC715B" w:rsidRPr="003C18B5">
              <w:rPr>
                <w:rFonts w:ascii="Arial" w:hAnsi="Arial" w:cs="Arial"/>
              </w:rPr>
              <w:fldChar w:fldCharType="separate"/>
            </w:r>
            <w:r w:rsidR="00DC715B" w:rsidRPr="003C18B5">
              <w:rPr>
                <w:rFonts w:ascii="Arial" w:hAnsi="Arial" w:cs="Arial"/>
                <w:noProof/>
              </w:rPr>
              <w:t>(Madrid, Liou, DeRisi, &amp; Guy, 2006)</w:t>
            </w:r>
            <w:r w:rsidR="00DC715B" w:rsidRPr="003C18B5">
              <w:rPr>
                <w:rFonts w:ascii="Arial" w:hAnsi="Arial" w:cs="Arial"/>
              </w:rPr>
              <w:fldChar w:fldCharType="end"/>
            </w:r>
          </w:p>
          <w:p w:rsidR="00D80260" w:rsidRPr="003C18B5" w:rsidRDefault="00D80260" w:rsidP="005711AE">
            <w:pPr>
              <w:ind w:firstLine="572"/>
              <w:rPr>
                <w:rFonts w:ascii="Arial" w:hAnsi="Arial" w:cs="Arial"/>
              </w:rPr>
            </w:pPr>
            <w:r w:rsidRPr="003C18B5">
              <w:rPr>
                <w:rFonts w:ascii="Arial" w:hAnsi="Arial" w:cs="Arial"/>
              </w:rPr>
              <w:t>Considerando el desarrollo de análogos de agentes en uso como enfoque para diseñar nuevas alternativas quimioterapéuticas antimaláricas efectivas, se han efectuado diversos trabajos entre los que destaca una investigación reciente que reporta la síntesis y evaluación de derivados (7-cloroquinolin-4-il)aminochalconas</w:t>
            </w:r>
            <w:r w:rsidR="002F7E41" w:rsidRPr="003C18B5">
              <w:rPr>
                <w:rFonts w:ascii="Arial" w:hAnsi="Arial" w:cs="Arial"/>
              </w:rPr>
              <w:t xml:space="preserve"> </w:t>
            </w:r>
            <w:r w:rsidR="002F7E41" w:rsidRPr="003C18B5">
              <w:rPr>
                <w:rFonts w:ascii="Arial" w:hAnsi="Arial" w:cs="Arial"/>
              </w:rPr>
              <w:fldChar w:fldCharType="begin" w:fldLock="1"/>
            </w:r>
            <w:r w:rsidR="002F7E41" w:rsidRPr="003C18B5">
              <w:rPr>
                <w:rFonts w:ascii="Arial" w:hAnsi="Arial" w:cs="Arial"/>
              </w:rPr>
              <w:instrText>ADDIN CSL_CITATION { "citationItems" : [ { "id" : "ITEM-1", "itemData" : { "DOI" : "10.3797/scipharm.0905-07", "ISSN" : "00368709", "abstract" : "[(7-Chloroquinolin-4-yl)amino]chalcone derivs. derived from the corresponding 3-or 4-[(7-chloroquinolin-4-yl)amino]acetophenone were synthesized and evaluated for in vitro antimalarial and anticancer activity.  The most active compds. I (R = 4-NMe2, 4-Cl, 2-Cl, 3-F, H) from the 3-substituted series displayed inhibitory values against heme crystn. in the range of 93.14\u00b11.74 - 94.93\u00b11.50% as an antimalarial mechanism.  Compds. I (R = 4-Cl, 3-F, H) had a cytotoxic effect against human prostate LNCaP tumor cells with IC50 values of 7.93\u00b12.05, 7.11\u00b12.06 and 6.95\u00b11.62 \u03bcg/mL, resp. [on SciFinder(R)]", "author" : [ { "dropping-particle" : "", "family" : "Ferrer", "given" : "Rosa", "non-dropping-particle" : "", "parse-names" : false, "suffix" : "" }, { "dropping-particle" : "", "family" : "Lobo", "given" : "Gricela", "non-dropping-particle" : "", "parse-names" : false, "suffix" : "" }, { "dropping-particle" : "", "family" : "Gamboa", "given" : "Neira", "non-dropping-particle" : "", "parse-names" : false, "suffix" : "" }, { "dropping-particle" : "", "family" : "Rodrigues", "given" : "Juan", "non-dropping-particle" : "", "parse-names" : false, "suffix" : "" }, { "dropping-particle" : "", "family" : "Abramjuk", "given" : "Claudia", "non-dropping-particle" : "", "parse-names" : false, "suffix" : "" }, { "dropping-particle" : "", "family" : "Jung", "given" : "Klaus", "non-dropping-particle" : "", "parse-names" : false, "suffix" : "" }, { "dropping-particle" : "", "family" : "Lein", "given" : "Michael", "non-dropping-particle" : "", "parse-names" : false, "suffix" : "" }, { "dropping-particle" : "", "family" : "Charris", "given" : "Jaime E.", "non-dropping-particle" : "", "parse-names" : false, "suffix" : "" } ], "container-title" : "Scientia Pharmaceutica", "id" : "ITEM-1", "issue" : "4", "issued" : { "date-parts" : [ [ "2009" ] ] }, "page" : "725-741", "title" : "Synthesis of [(7-chloroquinolin-4-yl)amino]chalcones: Potential antimalarial and anticancer agents", "type" : "article-journal", "volume" : "77" }, "uris" : [ "http://www.mendeley.com/documents/?uuid=e9a63116-39ed-4331-ae5c-df4b84734cd7" ] } ], "mendeley" : { "formattedCitation" : "(Ferrer et al., 2009)", "plainTextFormattedCitation" : "(Ferrer et al., 2009)", "previouslyFormattedCitation" : "(Ferrer et al., 2009)" }, "properties" : {  }, "schema" : "https://github.com/citation-style-language/schema/raw/master/csl-citation.json" }</w:instrText>
            </w:r>
            <w:r w:rsidR="002F7E41" w:rsidRPr="003C18B5">
              <w:rPr>
                <w:rFonts w:ascii="Arial" w:hAnsi="Arial" w:cs="Arial"/>
              </w:rPr>
              <w:fldChar w:fldCharType="separate"/>
            </w:r>
            <w:r w:rsidR="002F7E41" w:rsidRPr="003C18B5">
              <w:rPr>
                <w:rFonts w:ascii="Arial" w:hAnsi="Arial" w:cs="Arial"/>
                <w:noProof/>
              </w:rPr>
              <w:t>(Ferrer et al., 2009)</w:t>
            </w:r>
            <w:r w:rsidR="002F7E41" w:rsidRPr="003C18B5">
              <w:rPr>
                <w:rFonts w:ascii="Arial" w:hAnsi="Arial" w:cs="Arial"/>
              </w:rPr>
              <w:fldChar w:fldCharType="end"/>
            </w:r>
            <w:r w:rsidRPr="003C18B5">
              <w:rPr>
                <w:rFonts w:ascii="Arial" w:hAnsi="Arial" w:cs="Arial"/>
              </w:rPr>
              <w:t xml:space="preserve">, revelando que los compuestos  </w:t>
            </w:r>
            <w:r w:rsidRPr="003C18B5">
              <w:rPr>
                <w:rFonts w:ascii="Arial" w:hAnsi="Arial" w:cs="Arial"/>
                <w:u w:val="single"/>
              </w:rPr>
              <w:t>2 a-e</w:t>
            </w:r>
            <w:r w:rsidRPr="003C18B5">
              <w:rPr>
                <w:rFonts w:ascii="Arial" w:hAnsi="Arial" w:cs="Arial"/>
              </w:rPr>
              <w:t xml:space="preserve"> poseen un poder de inhibición de la cristalización de la hemozoína comparable al de la cloroquina (&gt;90%). Los resultados indicaron que la actividad está gobernada en gran medida por la posición de los sustituyentes sobre el anillo 4-aminofenil, dado que los compuestos meta-sustituidos presentaron mayor capacidad inhibitoria que los para-sustituidos, sugiriendo que este anillo aromático contribuye al enlace droga-receptor debido a </w:t>
            </w:r>
            <w:r w:rsidRPr="003C18B5">
              <w:rPr>
                <w:rFonts w:ascii="Arial" w:hAnsi="Arial" w:cs="Arial"/>
                <w:i/>
              </w:rPr>
              <w:t>orientación espacial</w:t>
            </w:r>
            <w:r w:rsidRPr="003C18B5">
              <w:rPr>
                <w:rFonts w:ascii="Arial" w:hAnsi="Arial" w:cs="Arial"/>
              </w:rPr>
              <w:t>.</w:t>
            </w:r>
          </w:p>
          <w:tbl>
            <w:tblPr>
              <w:tblW w:w="0" w:type="auto"/>
              <w:jc w:val="center"/>
              <w:tblLayout w:type="fixed"/>
              <w:tblLook w:val="04A0"/>
            </w:tblPr>
            <w:tblGrid>
              <w:gridCol w:w="9545"/>
            </w:tblGrid>
            <w:tr w:rsidR="00D80260" w:rsidRPr="003C18B5" w:rsidTr="00E03BDD">
              <w:trPr>
                <w:trHeight w:val="1984"/>
                <w:jc w:val="center"/>
              </w:trPr>
              <w:tc>
                <w:tcPr>
                  <w:tcW w:w="9545" w:type="dxa"/>
                  <w:vAlign w:val="center"/>
                </w:tcPr>
                <w:p w:rsidR="00D80260" w:rsidRPr="003C18B5" w:rsidRDefault="00D80260" w:rsidP="00E03BDD">
                  <w:pPr>
                    <w:autoSpaceDE w:val="0"/>
                    <w:autoSpaceDN w:val="0"/>
                    <w:adjustRightInd w:val="0"/>
                    <w:spacing w:after="240"/>
                    <w:jc w:val="center"/>
                    <w:rPr>
                      <w:rFonts w:ascii="Arial" w:hAnsi="Arial" w:cs="Arial"/>
                    </w:rPr>
                  </w:pPr>
                  <w:r w:rsidRPr="003C18B5">
                    <w:rPr>
                      <w:rFonts w:ascii="Arial" w:hAnsi="Arial" w:cs="Arial"/>
                    </w:rPr>
                    <w:object w:dxaOrig="4920" w:dyaOrig="2222">
                      <v:shape id="_x0000_i1029" type="#_x0000_t75" style="width:216.7pt;height:97.6pt" o:ole="">
                        <v:imagedata r:id="rId24" o:title=""/>
                      </v:shape>
                      <o:OLEObject Type="Embed" ProgID="ACD.ChemSketch.20" ShapeID="_x0000_i1029" DrawAspect="Content" ObjectID="_1574214138" r:id="rId25"/>
                    </w:object>
                  </w:r>
                </w:p>
              </w:tc>
            </w:tr>
          </w:tbl>
          <w:p w:rsidR="00D80260" w:rsidRPr="003C18B5" w:rsidRDefault="00D80260" w:rsidP="005711AE">
            <w:pPr>
              <w:jc w:val="center"/>
              <w:rPr>
                <w:rFonts w:ascii="Arial" w:hAnsi="Arial" w:cs="Arial"/>
                <w:b/>
                <w:lang w:val="es-ES_tradnl"/>
              </w:rPr>
            </w:pPr>
            <w:r w:rsidRPr="003C18B5">
              <w:rPr>
                <w:rFonts w:ascii="Arial" w:hAnsi="Arial" w:cs="Arial"/>
                <w:b/>
                <w:lang w:val="es-ES_tradnl"/>
              </w:rPr>
              <w:t>2</w:t>
            </w:r>
          </w:p>
          <w:tbl>
            <w:tblPr>
              <w:tblW w:w="0" w:type="auto"/>
              <w:jc w:val="center"/>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
              <w:gridCol w:w="552"/>
              <w:gridCol w:w="554"/>
              <w:gridCol w:w="554"/>
              <w:gridCol w:w="553"/>
              <w:gridCol w:w="1197"/>
            </w:tblGrid>
            <w:tr w:rsidR="00D80260" w:rsidRPr="003C18B5" w:rsidTr="005711AE">
              <w:trPr>
                <w:trHeight w:val="434"/>
                <w:jc w:val="center"/>
              </w:trPr>
              <w:tc>
                <w:tcPr>
                  <w:tcW w:w="354" w:type="dxa"/>
                  <w:tcBorders>
                    <w:top w:val="nil"/>
                    <w:left w:val="nil"/>
                    <w:bottom w:val="single" w:sz="12" w:space="0" w:color="000000"/>
                    <w:right w:val="nil"/>
                  </w:tcBorders>
                  <w:vAlign w:val="center"/>
                </w:tcPr>
                <w:p w:rsidR="00D80260" w:rsidRPr="003C18B5" w:rsidRDefault="00D80260" w:rsidP="005711AE">
                  <w:pPr>
                    <w:autoSpaceDE w:val="0"/>
                    <w:autoSpaceDN w:val="0"/>
                    <w:adjustRightInd w:val="0"/>
                    <w:spacing w:after="0"/>
                    <w:jc w:val="center"/>
                    <w:rPr>
                      <w:rFonts w:ascii="Arial" w:hAnsi="Arial" w:cs="Arial"/>
                    </w:rPr>
                  </w:pPr>
                </w:p>
              </w:tc>
              <w:tc>
                <w:tcPr>
                  <w:tcW w:w="552" w:type="dxa"/>
                  <w:tcBorders>
                    <w:top w:val="single" w:sz="12" w:space="0" w:color="000000"/>
                    <w:left w:val="nil"/>
                    <w:bottom w:val="single" w:sz="12" w:space="0" w:color="000000"/>
                    <w:right w:val="nil"/>
                  </w:tcBorders>
                  <w:shd w:val="pct10" w:color="auto" w:fill="auto"/>
                  <w:vAlign w:val="center"/>
                </w:tcPr>
                <w:p w:rsidR="00D80260" w:rsidRPr="003C18B5" w:rsidRDefault="00D80260" w:rsidP="005711AE">
                  <w:pPr>
                    <w:autoSpaceDE w:val="0"/>
                    <w:autoSpaceDN w:val="0"/>
                    <w:adjustRightInd w:val="0"/>
                    <w:spacing w:after="0"/>
                    <w:jc w:val="center"/>
                    <w:rPr>
                      <w:rFonts w:ascii="Arial" w:hAnsi="Arial" w:cs="Arial"/>
                      <w:b/>
                    </w:rPr>
                  </w:pPr>
                  <w:r w:rsidRPr="003C18B5">
                    <w:rPr>
                      <w:rFonts w:ascii="Arial" w:hAnsi="Arial" w:cs="Arial"/>
                      <w:b/>
                    </w:rPr>
                    <w:t>a</w:t>
                  </w:r>
                </w:p>
              </w:tc>
              <w:tc>
                <w:tcPr>
                  <w:tcW w:w="554" w:type="dxa"/>
                  <w:tcBorders>
                    <w:top w:val="single" w:sz="12" w:space="0" w:color="000000"/>
                    <w:left w:val="nil"/>
                    <w:bottom w:val="single" w:sz="12" w:space="0" w:color="000000"/>
                    <w:right w:val="nil"/>
                  </w:tcBorders>
                  <w:shd w:val="pct10" w:color="auto" w:fill="auto"/>
                  <w:vAlign w:val="center"/>
                </w:tcPr>
                <w:p w:rsidR="00D80260" w:rsidRPr="003C18B5" w:rsidRDefault="00D80260" w:rsidP="005711AE">
                  <w:pPr>
                    <w:autoSpaceDE w:val="0"/>
                    <w:autoSpaceDN w:val="0"/>
                    <w:adjustRightInd w:val="0"/>
                    <w:spacing w:after="0"/>
                    <w:jc w:val="center"/>
                    <w:rPr>
                      <w:rFonts w:ascii="Arial" w:hAnsi="Arial" w:cs="Arial"/>
                      <w:b/>
                    </w:rPr>
                  </w:pPr>
                  <w:r w:rsidRPr="003C18B5">
                    <w:rPr>
                      <w:rFonts w:ascii="Arial" w:hAnsi="Arial" w:cs="Arial"/>
                      <w:b/>
                    </w:rPr>
                    <w:t>b</w:t>
                  </w:r>
                </w:p>
              </w:tc>
              <w:tc>
                <w:tcPr>
                  <w:tcW w:w="554" w:type="dxa"/>
                  <w:tcBorders>
                    <w:top w:val="single" w:sz="12" w:space="0" w:color="000000"/>
                    <w:left w:val="nil"/>
                    <w:bottom w:val="single" w:sz="12" w:space="0" w:color="000000"/>
                    <w:right w:val="nil"/>
                  </w:tcBorders>
                  <w:shd w:val="pct10" w:color="auto" w:fill="auto"/>
                  <w:vAlign w:val="center"/>
                </w:tcPr>
                <w:p w:rsidR="00D80260" w:rsidRPr="003C18B5" w:rsidRDefault="00D80260" w:rsidP="005711AE">
                  <w:pPr>
                    <w:autoSpaceDE w:val="0"/>
                    <w:autoSpaceDN w:val="0"/>
                    <w:adjustRightInd w:val="0"/>
                    <w:spacing w:after="0"/>
                    <w:jc w:val="center"/>
                    <w:rPr>
                      <w:rFonts w:ascii="Arial" w:hAnsi="Arial" w:cs="Arial"/>
                      <w:b/>
                    </w:rPr>
                  </w:pPr>
                  <w:r w:rsidRPr="003C18B5">
                    <w:rPr>
                      <w:rFonts w:ascii="Arial" w:hAnsi="Arial" w:cs="Arial"/>
                      <w:b/>
                    </w:rPr>
                    <w:t>c</w:t>
                  </w:r>
                </w:p>
              </w:tc>
              <w:tc>
                <w:tcPr>
                  <w:tcW w:w="553" w:type="dxa"/>
                  <w:tcBorders>
                    <w:top w:val="single" w:sz="12" w:space="0" w:color="000000"/>
                    <w:left w:val="nil"/>
                    <w:bottom w:val="single" w:sz="12" w:space="0" w:color="000000"/>
                    <w:right w:val="nil"/>
                  </w:tcBorders>
                  <w:shd w:val="pct10" w:color="auto" w:fill="auto"/>
                  <w:vAlign w:val="center"/>
                </w:tcPr>
                <w:p w:rsidR="00D80260" w:rsidRPr="003C18B5" w:rsidRDefault="00D80260" w:rsidP="005711AE">
                  <w:pPr>
                    <w:autoSpaceDE w:val="0"/>
                    <w:autoSpaceDN w:val="0"/>
                    <w:adjustRightInd w:val="0"/>
                    <w:spacing w:after="0"/>
                    <w:jc w:val="center"/>
                    <w:rPr>
                      <w:rFonts w:ascii="Arial" w:hAnsi="Arial" w:cs="Arial"/>
                      <w:b/>
                    </w:rPr>
                  </w:pPr>
                  <w:r w:rsidRPr="003C18B5">
                    <w:rPr>
                      <w:rFonts w:ascii="Arial" w:hAnsi="Arial" w:cs="Arial"/>
                      <w:b/>
                    </w:rPr>
                    <w:t>d</w:t>
                  </w:r>
                </w:p>
              </w:tc>
              <w:tc>
                <w:tcPr>
                  <w:tcW w:w="1197" w:type="dxa"/>
                  <w:tcBorders>
                    <w:top w:val="single" w:sz="12" w:space="0" w:color="000000"/>
                    <w:left w:val="nil"/>
                    <w:bottom w:val="single" w:sz="12" w:space="0" w:color="000000"/>
                    <w:right w:val="nil"/>
                  </w:tcBorders>
                  <w:shd w:val="pct10" w:color="auto" w:fill="auto"/>
                  <w:vAlign w:val="center"/>
                </w:tcPr>
                <w:p w:rsidR="00D80260" w:rsidRPr="003C18B5" w:rsidRDefault="00D80260" w:rsidP="005711AE">
                  <w:pPr>
                    <w:autoSpaceDE w:val="0"/>
                    <w:autoSpaceDN w:val="0"/>
                    <w:adjustRightInd w:val="0"/>
                    <w:spacing w:after="0"/>
                    <w:jc w:val="center"/>
                    <w:rPr>
                      <w:rFonts w:ascii="Arial" w:hAnsi="Arial" w:cs="Arial"/>
                      <w:b/>
                    </w:rPr>
                  </w:pPr>
                  <w:r w:rsidRPr="003C18B5">
                    <w:rPr>
                      <w:rFonts w:ascii="Arial" w:hAnsi="Arial" w:cs="Arial"/>
                      <w:b/>
                    </w:rPr>
                    <w:t>e</w:t>
                  </w:r>
                </w:p>
              </w:tc>
            </w:tr>
            <w:tr w:rsidR="00D80260" w:rsidRPr="003C18B5" w:rsidTr="005711AE">
              <w:trPr>
                <w:trHeight w:val="447"/>
                <w:jc w:val="center"/>
              </w:trPr>
              <w:tc>
                <w:tcPr>
                  <w:tcW w:w="354" w:type="dxa"/>
                  <w:tcBorders>
                    <w:top w:val="single" w:sz="12" w:space="0" w:color="000000"/>
                    <w:left w:val="nil"/>
                    <w:bottom w:val="single" w:sz="12" w:space="0" w:color="000000"/>
                    <w:right w:val="nil"/>
                  </w:tcBorders>
                  <w:vAlign w:val="center"/>
                </w:tcPr>
                <w:p w:rsidR="00D80260" w:rsidRPr="003C18B5" w:rsidRDefault="00D80260" w:rsidP="005711AE">
                  <w:pPr>
                    <w:autoSpaceDE w:val="0"/>
                    <w:autoSpaceDN w:val="0"/>
                    <w:adjustRightInd w:val="0"/>
                    <w:spacing w:after="0"/>
                    <w:jc w:val="center"/>
                    <w:rPr>
                      <w:rFonts w:ascii="Arial" w:hAnsi="Arial" w:cs="Arial"/>
                    </w:rPr>
                  </w:pPr>
                  <w:r w:rsidRPr="003C18B5">
                    <w:rPr>
                      <w:rFonts w:ascii="Arial" w:hAnsi="Arial" w:cs="Arial"/>
                    </w:rPr>
                    <w:t>R</w:t>
                  </w:r>
                </w:p>
              </w:tc>
              <w:tc>
                <w:tcPr>
                  <w:tcW w:w="552" w:type="dxa"/>
                  <w:tcBorders>
                    <w:top w:val="single" w:sz="12" w:space="0" w:color="000000"/>
                    <w:left w:val="nil"/>
                    <w:bottom w:val="single" w:sz="12" w:space="0" w:color="000000"/>
                    <w:right w:val="nil"/>
                  </w:tcBorders>
                  <w:vAlign w:val="center"/>
                </w:tcPr>
                <w:p w:rsidR="00D80260" w:rsidRPr="003C18B5" w:rsidRDefault="00D80260" w:rsidP="005711AE">
                  <w:pPr>
                    <w:autoSpaceDE w:val="0"/>
                    <w:autoSpaceDN w:val="0"/>
                    <w:adjustRightInd w:val="0"/>
                    <w:spacing w:after="0"/>
                    <w:jc w:val="center"/>
                    <w:rPr>
                      <w:rFonts w:ascii="Arial" w:hAnsi="Arial" w:cs="Arial"/>
                    </w:rPr>
                  </w:pPr>
                  <w:r w:rsidRPr="003C18B5">
                    <w:rPr>
                      <w:rFonts w:ascii="Arial" w:hAnsi="Arial" w:cs="Arial"/>
                    </w:rPr>
                    <w:t>H</w:t>
                  </w:r>
                </w:p>
              </w:tc>
              <w:tc>
                <w:tcPr>
                  <w:tcW w:w="554" w:type="dxa"/>
                  <w:tcBorders>
                    <w:top w:val="single" w:sz="12" w:space="0" w:color="000000"/>
                    <w:left w:val="nil"/>
                    <w:bottom w:val="single" w:sz="12" w:space="0" w:color="000000"/>
                    <w:right w:val="nil"/>
                  </w:tcBorders>
                  <w:vAlign w:val="center"/>
                </w:tcPr>
                <w:p w:rsidR="00D80260" w:rsidRPr="003C18B5" w:rsidRDefault="00D80260" w:rsidP="005711AE">
                  <w:pPr>
                    <w:autoSpaceDE w:val="0"/>
                    <w:autoSpaceDN w:val="0"/>
                    <w:adjustRightInd w:val="0"/>
                    <w:spacing w:after="0"/>
                    <w:jc w:val="center"/>
                    <w:rPr>
                      <w:rFonts w:ascii="Arial" w:hAnsi="Arial" w:cs="Arial"/>
                    </w:rPr>
                  </w:pPr>
                  <w:r w:rsidRPr="003C18B5">
                    <w:rPr>
                      <w:rFonts w:ascii="Arial" w:hAnsi="Arial" w:cs="Arial"/>
                    </w:rPr>
                    <w:t>2Cl</w:t>
                  </w:r>
                </w:p>
              </w:tc>
              <w:tc>
                <w:tcPr>
                  <w:tcW w:w="554" w:type="dxa"/>
                  <w:tcBorders>
                    <w:top w:val="single" w:sz="12" w:space="0" w:color="000000"/>
                    <w:left w:val="nil"/>
                    <w:bottom w:val="single" w:sz="12" w:space="0" w:color="000000"/>
                    <w:right w:val="nil"/>
                  </w:tcBorders>
                  <w:vAlign w:val="center"/>
                </w:tcPr>
                <w:p w:rsidR="00D80260" w:rsidRPr="003C18B5" w:rsidRDefault="00D80260" w:rsidP="005711AE">
                  <w:pPr>
                    <w:autoSpaceDE w:val="0"/>
                    <w:autoSpaceDN w:val="0"/>
                    <w:adjustRightInd w:val="0"/>
                    <w:spacing w:after="0"/>
                    <w:jc w:val="center"/>
                    <w:rPr>
                      <w:rFonts w:ascii="Arial" w:hAnsi="Arial" w:cs="Arial"/>
                    </w:rPr>
                  </w:pPr>
                  <w:r w:rsidRPr="003C18B5">
                    <w:rPr>
                      <w:rFonts w:ascii="Arial" w:hAnsi="Arial" w:cs="Arial"/>
                    </w:rPr>
                    <w:t>4Cl</w:t>
                  </w:r>
                </w:p>
              </w:tc>
              <w:tc>
                <w:tcPr>
                  <w:tcW w:w="553" w:type="dxa"/>
                  <w:tcBorders>
                    <w:top w:val="single" w:sz="12" w:space="0" w:color="000000"/>
                    <w:left w:val="nil"/>
                    <w:bottom w:val="single" w:sz="12" w:space="0" w:color="000000"/>
                    <w:right w:val="nil"/>
                  </w:tcBorders>
                  <w:vAlign w:val="center"/>
                </w:tcPr>
                <w:p w:rsidR="00D80260" w:rsidRPr="003C18B5" w:rsidRDefault="00D80260" w:rsidP="005711AE">
                  <w:pPr>
                    <w:autoSpaceDE w:val="0"/>
                    <w:autoSpaceDN w:val="0"/>
                    <w:adjustRightInd w:val="0"/>
                    <w:spacing w:after="0"/>
                    <w:jc w:val="center"/>
                    <w:rPr>
                      <w:rFonts w:ascii="Arial" w:hAnsi="Arial" w:cs="Arial"/>
                    </w:rPr>
                  </w:pPr>
                  <w:r w:rsidRPr="003C18B5">
                    <w:rPr>
                      <w:rFonts w:ascii="Arial" w:hAnsi="Arial" w:cs="Arial"/>
                    </w:rPr>
                    <w:t>3F</w:t>
                  </w:r>
                </w:p>
              </w:tc>
              <w:tc>
                <w:tcPr>
                  <w:tcW w:w="1197" w:type="dxa"/>
                  <w:tcBorders>
                    <w:top w:val="single" w:sz="12" w:space="0" w:color="000000"/>
                    <w:left w:val="nil"/>
                    <w:bottom w:val="single" w:sz="12" w:space="0" w:color="000000"/>
                    <w:right w:val="nil"/>
                  </w:tcBorders>
                  <w:vAlign w:val="center"/>
                </w:tcPr>
                <w:p w:rsidR="00D80260" w:rsidRPr="003C18B5" w:rsidRDefault="00D80260" w:rsidP="005711AE">
                  <w:pPr>
                    <w:autoSpaceDE w:val="0"/>
                    <w:autoSpaceDN w:val="0"/>
                    <w:adjustRightInd w:val="0"/>
                    <w:spacing w:after="0"/>
                    <w:jc w:val="center"/>
                    <w:rPr>
                      <w:rFonts w:ascii="Arial" w:hAnsi="Arial" w:cs="Arial"/>
                    </w:rPr>
                  </w:pPr>
                  <w:r w:rsidRPr="003C18B5">
                    <w:rPr>
                      <w:rFonts w:ascii="Arial" w:hAnsi="Arial" w:cs="Arial"/>
                    </w:rPr>
                    <w:t>4N(CH</w:t>
                  </w:r>
                  <w:r w:rsidRPr="003C18B5">
                    <w:rPr>
                      <w:rFonts w:ascii="Arial" w:hAnsi="Arial" w:cs="Arial"/>
                      <w:vertAlign w:val="subscript"/>
                    </w:rPr>
                    <w:t>3</w:t>
                  </w:r>
                  <w:r w:rsidRPr="003C18B5">
                    <w:rPr>
                      <w:rFonts w:ascii="Arial" w:hAnsi="Arial" w:cs="Arial"/>
                    </w:rPr>
                    <w:t>)</w:t>
                  </w:r>
                  <w:r w:rsidRPr="003C18B5">
                    <w:rPr>
                      <w:rFonts w:ascii="Arial" w:hAnsi="Arial" w:cs="Arial"/>
                      <w:vertAlign w:val="subscript"/>
                    </w:rPr>
                    <w:t>2</w:t>
                  </w:r>
                </w:p>
              </w:tc>
            </w:tr>
          </w:tbl>
          <w:p w:rsidR="00D80260" w:rsidRPr="003C18B5" w:rsidRDefault="00D80260" w:rsidP="003A102D">
            <w:pPr>
              <w:autoSpaceDE w:val="0"/>
              <w:autoSpaceDN w:val="0"/>
              <w:adjustRightInd w:val="0"/>
              <w:spacing w:before="240" w:after="240"/>
              <w:ind w:firstLine="572"/>
              <w:rPr>
                <w:rFonts w:ascii="Arial" w:hAnsi="Arial" w:cs="Arial"/>
              </w:rPr>
            </w:pPr>
            <w:r w:rsidRPr="003C18B5">
              <w:rPr>
                <w:rFonts w:ascii="Arial" w:hAnsi="Arial" w:cs="Arial"/>
              </w:rPr>
              <w:t>Por otra parte, se ha encontrado que compuestos que contienen un componente de semicarbazona y tiosemicarbazona muestran un amplio espectro de propiedades quimioterapé</w:t>
            </w:r>
            <w:r w:rsidR="005627D4" w:rsidRPr="003C18B5">
              <w:rPr>
                <w:rFonts w:ascii="Arial" w:hAnsi="Arial" w:cs="Arial"/>
              </w:rPr>
              <w:t>uticas, incluyendo antimalárica</w:t>
            </w:r>
            <w:r w:rsidR="002F7E41" w:rsidRPr="003C18B5">
              <w:rPr>
                <w:rFonts w:ascii="Arial" w:hAnsi="Arial" w:cs="Arial"/>
              </w:rPr>
              <w:t xml:space="preserve"> </w:t>
            </w:r>
            <w:r w:rsidR="005627D4" w:rsidRPr="003C18B5">
              <w:rPr>
                <w:rFonts w:ascii="Arial" w:hAnsi="Arial" w:cs="Arial"/>
              </w:rPr>
              <w:fldChar w:fldCharType="begin" w:fldLock="1"/>
            </w:r>
            <w:r w:rsidR="005627D4" w:rsidRPr="003C18B5">
              <w:rPr>
                <w:rFonts w:ascii="Arial" w:hAnsi="Arial" w:cs="Arial"/>
              </w:rPr>
              <w:instrText>ADDIN CSL_CITATION { "citationItems" : [ { "id" : "ITEM-1", "itemData" : { "DOI" : "DOI: 10.1021/jm00193a020", "author" : [ { "dropping-particle" : "", "family" : "Klayman D, Bartosevich J, Griffin T, Mason C", "given" : "Scovill J.", "non-dropping-particle" : "", "parse-names" : false, "suffix" : "" } ], "container-title" : "J Med Chem", "id" : "ITEM-1", "issue" : "7", "issued" : { "date-parts" : [ [ "1979" ] ] }, "page" : "855\u2013862", "title" : "2-Acetylpyridine thiosemicarbazones. 1. A new class of potential antimalarial agents", "type" : "article-journal", "volume" : "22" }, "uris" : [ "http://www.mendeley.com/documents/?uuid=09cf6560-10d2-4a41-97d7-4667541c0493" ] }, { "id" : "ITEM-2", "itemData" : { "DOI" : "https://doi.org/10.1016/j.bmc.2005.02.037", "author" : [ { "dropping-particle" : "", "family" : "Chiyanzu I, Clarkson C, Smith P, Lehman J, Gut J, Rosenthal Ph", "given" : "Chibale K", "non-dropping-particle" : "", "parse-names" : false, "suffix" : "" } ], "container-title" : "Bioorg Med Chem", "id" : "ITEM-2", "issue" : "9", "issued" : { "date-parts" : [ [ "2005" ] ] }, "page" : "3249-3261", "title" : "Design, synthesis and anti-plasmodial evaluation in vitro of new 4-aminoquinoline isatin derivatives", "type" : "article-journal", "volume" : "13" }, "uris" : [ "http://www.mendeley.com/documents/?uuid=9db5b7b9-f488-4396-b92e-3bc99bd86873" ] }, { "id" : "ITEM-3", "itemData" : { "DOI" : "10.1016/j.bmcl.2009.04.142", "ISBN" : "1464-3405 (Electronic)\\r0960-894X (Linking)", "ISSN" : "0960894X", "PMID" : "19447616", "abstract" : "Malaria is a devastating illness caused by multiple species of the Plasmodium genus. The parasite's falcipain proteases have been extensively studied as potential drug targets. Here we report the testing of two established cysteine protease inhibitor scaffolds against both chloroquine sensitive and chloroquine resistant parasites. A subset of purine derived nitriles killed the parasite with moderate potency, and these inhibitors do not seem to exert their antiproliferative effects as cysteine protease inhibitors. Compound potency was determined to be similar against both parasite strains, indicating a low probability of cross resistance with chloroquine. These compounds represent a novel antimalarial scaffold, and a potential starting point for the development new inhibitors. ?? 2009 Elsevier Ltd. All rights reserved.", "author" : [ { "dropping-particle" : "", "family" : "Mallari", "given" : "Jeremy P.", "non-dropping-particle" : "", "parse-names" : false, "suffix" : "" }, { "dropping-particle" : "", "family" : "Guiguemde", "given" : "Wendyam A.", "non-dropping-particle" : "", "parse-names" : false, "suffix" : "" }, { "dropping-particle" : "", "family" : "Guy", "given" : "R. Kiplin", "non-dropping-particle" : "", "parse-names" : false, "suffix" : "" } ], "container-title" : "Bioorganic and Medicinal Chemistry Letters", "id" : "ITEM-3", "issue" : "13", "issued" : { "date-parts" : [ [ "2009" ] ] }, "page" : "3546-3549", "publisher" : "Elsevier Ltd", "title" : "Antimalarial activity of thiosemicarbazones and purine derived nitriles", "type" : "article-journal", "volume" : "19" }, "uris" : [ "http://www.mendeley.com/documents/?uuid=2682ca78-fa26-4e8d-b457-5e3db3c90177" ] }, { "id" : "ITEM-4", "itemData" : { "DOI" : "10.1016/j.bmc.2006.09.055", "ISBN" : "0968-0896 (Print)\\r0968-0896 (Linking)", "ISSN" : "09680896", "PMID" : "17052908", "abstract" : "A targeted series of phenolic Mannich bases of benzaldehyde and (thio)semicarbazone derivatives were synthesized and evaluated in vitro against the malarial cysteine protease falcipain-2 and a chloroquine resistant strain (W2) of Plasmodium falciparum. A novel series of 4-aminoquinoline semicarbazones were the most effective inhibitors of falcipain-2 (most potent inhibitor had IC50 = 0.63 \u03bcM) while a bisquinoline semicarbazone compound 8f was the most potent antimalarial compound with an IC50 of 0.07 \u03bcM against W2. Compound 8f also weakly inhibited falcipain-2, with an IC50 of 3.16 \u03bcM, although its principal antiparasitic activity did not appear to be due to inhibition of this enzyme. \u00a9 2006 Elsevier Ltd. All rights reserved.", "author" : [ { "dropping-particle" : "", "family" : "Chipeleme", "given" : "Alex", "non-dropping-particle" : "", "parse-names" : false, "suffix" : "" }, { "dropping-particle" : "", "family" : "Gut", "given" : "Jiri", "non-dropping-particle" : "", "parse-names" : false, "suffix" : "" }, { "dropping-particle" : "", "family" : "Rosenthal", "given" : "Philip J.", "non-dropping-particle" : "", "parse-names" : false, "suffix" : "" }, { "dropping-particle" : "", "family" : "Chibale", "given" : "Kelly", "non-dropping-particle" : "", "parse-names" : false, "suffix" : "" } ], "container-title" : "Bioorganic and Medicinal Chemistry", "id" : "ITEM-4", "issue" : "1", "issued" : { "date-parts" : [ [ "2007" ] ] }, "page" : "273-282", "title" : "Synthesis and biological evaluation of phenolic Mannich bases of benzaldehyde and (thio)semicarbazone derivatives against the cysteine protease falcipain-2 and a chloroquine resistant strain of Plasmodium falciparum", "type" : "article-journal", "volume" : "15" }, "uris" : [ "http://www.mendeley.com/documents/?uuid=63e51fb3-5560-48b6-abb4-61edcf89abb6" ] }, { "id" : "ITEM-5", "itemData" : { "DOI" : "10.1016/j.ejmech.2007.11.012", "ISBN" : "0223-5234", "ISSN" : "02235234", "PMID" : "18222568", "abstract" : "Seventeen semicarbazone and thiosemicarbazone derivatives were prepared and tested in vitro against a chloroquine resistant strain of Plasmodium falciparum (W2) to evaluate their antiplasmodial potential. Three thiosemicarbazones were found to be active against the parasite and non-toxic to human peripheral blood mononuclear cells (PBMC). Among these, compound 5b presented the lowest IC50 value against P. falciparum (7.2 ??M) and was the least toxic in the PBMC proliferation assay (IC50 = 73.5 ??M). It was selected for in vivo tests on mice infected with Plasmodium berghei (strain NK-65). The thiosemicarbazone 5b was able to reduce the parasitaemia by 61% at 20 mg/kg on day 7 after infection without any sign of toxicity to the animals. In comparison, the standard drug chloroquine at 15 mg/kg showed a reduction around 95%. These in vitro and in vivo results make 5b an interesting lead for further development. ?? 2007 Elsevier Masson SAS. All rights reserved.", "author" : [ { "dropping-particle" : "", "family" : "Oliveira", "given" : "Renata B.", "non-dropping-particle" : "de", "parse-names" : false, "suffix" : "" }, { "dropping-particle" : "", "family" : "Souza-Fagundes", "given" : "Elaine M.", "non-dropping-particle" : "de", "parse-names" : false, "suffix" : "" }, { "dropping-particle" : "", "family" : "Soares", "given" : "Rodrigo P P", "non-dropping-particle" : "", "parse-names" : false, "suffix" : "" }, { "dropping-particle" : "", "family" : "Andrade", "given" : "Anderson A.", "non-dropping-particle" : "", "parse-names" : false, "suffix" : "" }, { "dropping-particle" : "", "family" : "Krettli", "given" : "Antoniana U.", "non-dropping-particle" : "", "parse-names" : false, "suffix" : "" }, { "dropping-particle" : "", "family" : "Zani", "given" : "Carlos L.", "non-dropping-particle" : "", "parse-names" : false, "suffix" : "" } ], "container-title" : "European Journal of Medicinal Chemistry", "id" : "ITEM-5", "issue" : "9", "issued" : { "date-parts" : [ [ "2008" ] ] }, "page" : "1983-1988", "title" : "Synthesis and antimalarial activity of semicarbazone and thiosemicarbazone derivatives", "type" : "article-journal", "volume" : "43" }, "uris" : [ "http://www.mendeley.com/documents/?uuid=52b877df-948c-47ea-8b7d-13ef55e2950c" ] } ], "mendeley" : { "formattedCitation" : "(Chipeleme, Gut, Rosenthal, &amp; Chibale, 2007; Chiyanzu I, Clarkson C, Smith P, Lehman J, Gut J, Rosenthal Ph, 2005; de Oliveira et al., 2008; Klayman D, Bartosevich J, Griffin T, Mason C, 1979; Mallari, Guiguemde, &amp; Guy, 2009)", "plainTextFormattedCitation" : "(Chipeleme, Gut, Rosenthal, &amp; Chibale, 2007; Chiyanzu I, Clarkson C, Smith P, Lehman J, Gut J, Rosenthal Ph, 2005; de Oliveira et al., 2008; Klayman D, Bartosevich J, Griffin T, Mason C, 1979; Mallari, Guiguemde, &amp; Guy, 2009)", "previouslyFormattedCitation" : "(Chipeleme, Gut, Rosenthal, &amp; Chibale, 2007; Chiyanzu I, Clarkson C, Smith P, Lehman J, Gut J, Rosenthal Ph, 2005; de Oliveira et al., 2008; Klayman D, Bartosevich J, Griffin T, Mason C, 1979; Mallari, Guiguemde, &amp; Guy, 2009)" }, "properties" : {  }, "schema" : "https://github.com/citation-style-language/schema/raw/master/csl-citation.json" }</w:instrText>
            </w:r>
            <w:r w:rsidR="005627D4" w:rsidRPr="003C18B5">
              <w:rPr>
                <w:rFonts w:ascii="Arial" w:hAnsi="Arial" w:cs="Arial"/>
              </w:rPr>
              <w:fldChar w:fldCharType="separate"/>
            </w:r>
            <w:r w:rsidR="005627D4" w:rsidRPr="003C18B5">
              <w:rPr>
                <w:rFonts w:ascii="Arial" w:hAnsi="Arial" w:cs="Arial"/>
                <w:noProof/>
              </w:rPr>
              <w:t>(Chipeleme, Gut, Rosenthal, &amp; Chibale, 2007; Chiyanzu I, Clarkson C, Smith P, Lehman J, Gut J, Rosenthal Ph, 2005; de Oliveira et al., 2008; Klayman D, Bartosevich J, Griffin T, Mason C, 1979; Mallari, Guiguemde, &amp; Guy, 2009)</w:t>
            </w:r>
            <w:r w:rsidR="005627D4" w:rsidRPr="003C18B5">
              <w:rPr>
                <w:rFonts w:ascii="Arial" w:hAnsi="Arial" w:cs="Arial"/>
              </w:rPr>
              <w:fldChar w:fldCharType="end"/>
            </w:r>
            <w:r w:rsidR="005627D4" w:rsidRPr="003C18B5">
              <w:rPr>
                <w:rFonts w:ascii="Arial" w:hAnsi="Arial" w:cs="Arial"/>
              </w:rPr>
              <w:t>,</w:t>
            </w:r>
            <w:r w:rsidRPr="003C18B5">
              <w:rPr>
                <w:rFonts w:ascii="Arial" w:hAnsi="Arial" w:cs="Arial"/>
              </w:rPr>
              <w:t xml:space="preserve"> </w:t>
            </w:r>
            <w:r w:rsidRPr="003C18B5">
              <w:rPr>
                <w:rFonts w:ascii="Arial" w:hAnsi="Arial" w:cs="Arial"/>
              </w:rPr>
              <w:lastRenderedPageBreak/>
              <w:t>antitripanosomal</w:t>
            </w:r>
            <w:r w:rsidR="005627D4" w:rsidRPr="003C18B5">
              <w:rPr>
                <w:rFonts w:ascii="Arial" w:hAnsi="Arial" w:cs="Arial"/>
              </w:rPr>
              <w:t xml:space="preserve"> </w:t>
            </w:r>
            <w:r w:rsidR="00801F08" w:rsidRPr="003C18B5">
              <w:rPr>
                <w:rFonts w:ascii="Arial" w:hAnsi="Arial" w:cs="Arial"/>
              </w:rPr>
              <w:fldChar w:fldCharType="begin" w:fldLock="1"/>
            </w:r>
            <w:r w:rsidR="00801F08" w:rsidRPr="003C18B5">
              <w:rPr>
                <w:rFonts w:ascii="Arial" w:hAnsi="Arial" w:cs="Arial"/>
              </w:rPr>
              <w:instrText>ADDIN CSL_CITATION { "citationItems" : [ { "id" : "ITEM-1", "itemData" : { "PMID" : "7447409", "author" : [ { "dropping-particle" : "", "family" : "Casero J, Klayman D, Childs G, Scovill J", "given" : "Desjardins R.", "non-dropping-particle" : "", "parse-names" : false, "suffix" : "" } ], "container-title" : "Antimicrob Agents Chemother", "id" : "ITEM-1", "issue" : "2", "issued" : { "date-parts" : [ [ "1980" ] ] }, "page" : "317\u2013322", "title" : "Activity of 2-acetylpyridine thiosemicarbazones against Trypanosoma rhodesiense in vitro", "type" : "article-journal", "volume" : "18" }, "uris" : [ "http://www.mendeley.com/documents/?uuid=285ace31-6605-429c-a829-c2263452a9ae" ] }, { "id" : "ITEM-2", "itemData" : { "DOI" : "10.1016/j.bmcl.2004.10.023", "ISBN" : "0960-894X (Print)\\r0960-894X (Linking)", "ISSN" : "0960894X", "PMID" : "15582423", "abstract" : "Herein we report the synthesis and evaluation of a series of thiosemicarbazones as potential inhibitors of cysteine proteases relevant to parasitic diseases. Derivatives of thiosemicarbazone 1 were discovered to be potent inhibitors of cruzain and rhodesain, crucial proteases in the life cycles of Trypanosoma cruzi and T. brucei rhodesiense, the organisms causing Chagas' disease and sleeping sickness. However, the entire series had only modest potency against falcipain-2, an essential protease for Plasmodium falciparum, the organism causing malaria. Among the active inhibitors, several potently inhibited proliferation of cultures of T. brucei. However, only modest activity was observed in inhibition of proliferation of T. cruzi or P. falciparum. Herein we report the synthesis and evaluation of a series of thiosemicarbazones as potential inhibitors of cysteine proteases relevant to parasitic diseases. Derivatives of thiosemicarbazone 1 were discovered to be potent inhibitors of cruzain and rhodesain, crucial proteases in the life cycles of Trypanosoma cruzi and T. brucei rhodesiense, the organisms causing Chagas' disease and sleeping sickness. However, the entire series had only modest potency against falcipain-2, an essential protease for Plasmodium falciparum, the organism causing malaria. Among the active inhibitors, several potently inhibited proliferation of cultures of T. brucei. However, only modest activity was observed in inhibition of proliferation of T. cruzi or P. falciparum. ?? 2004 Elsevier Ltd. All rights reserved.", "author" : [ { "dropping-particle" : "", "family" : "Fujii", "given" : "Naoaki", "non-dropping-particle" : "", "parse-names" : false, "suffix" : "" }, { "dropping-particle" : "", "family" : "Mallari", "given" : "Jeremy P.", "non-dropping-particle" : "", "parse-names" : false, "suffix" : "" }, { "dropping-particle" : "", "family" : "Hansell", "given" : "Elizabeth J.", "non-dropping-particle" : "", "parse-names" : false, "suffix" : "" }, { "dropping-particle" : "", "family" : "MacKey", "given" : "Z.", "non-dropping-particle" : "", "parse-names" : false, "suffix" : "" }, { "dropping-particle" : "", "family" : "Doyle", "given" : "Patricia", "non-dropping-particle" : "", "parse-names" : false, "suffix" : "" }, { "dropping-particle" : "", "family" : "Zhou", "given" : "Y. M.", "non-dropping-particle" : "", "parse-names" : false, "suffix" : "" }, { "dropping-particle" : "", "family" : "Gut", "given" : "Jiri", "non-dropping-particle" : "", "parse-names" : false, "suffix" : "" }, { "dropping-particle" : "", "family" : "Rosenthal", "given" : "Philip J.", "non-dropping-particle" : "", "parse-names" : false, "suffix" : "" }, { "dropping-particle" : "", "family" : "McKerrow", "given" : "James H.", "non-dropping-particle" : "", "parse-names" : false, "suffix" : "" }, { "dropping-particle" : "", "family" : "Guy", "given" : "R. Kiplin", "non-dropping-particle" : "", "parse-names" : false, "suffix" : "" } ], "container-title" : "Bioorganic and Medicinal Chemistry Letters", "id" : "ITEM-2", "issue" : "1", "issued" : { "date-parts" : [ [ "2005" ] ] }, "page" : "121-123", "title" : "Discovery of potent thiosemicarbazone inhibitors of rhodesain and cruzain", "type" : "article-journal", "volume" : "15" }, "uris" : [ "http://www.mendeley.com/documents/?uuid=f561cf69-03d2-431b-a374-cf64b923a653" ] } ], "mendeley" : { "formattedCitation" : "(Casero J, Klayman D, Childs G, Scovill J, 1980; Fujii et al., 2005)", "plainTextFormattedCitation" : "(Casero J, Klayman D, Childs G, Scovill J, 1980; Fujii et al., 2005)", "previouslyFormattedCitation" : "(Casero J, Klayman D, Childs G, Scovill J, 1980; Fujii et al., 2005)" }, "properties" : {  }, "schema" : "https://github.com/citation-style-language/schema/raw/master/csl-citation.json" }</w:instrText>
            </w:r>
            <w:r w:rsidR="00801F08" w:rsidRPr="003C18B5">
              <w:rPr>
                <w:rFonts w:ascii="Arial" w:hAnsi="Arial" w:cs="Arial"/>
              </w:rPr>
              <w:fldChar w:fldCharType="separate"/>
            </w:r>
            <w:r w:rsidR="00801F08" w:rsidRPr="003C18B5">
              <w:rPr>
                <w:rFonts w:ascii="Arial" w:hAnsi="Arial" w:cs="Arial"/>
                <w:noProof/>
              </w:rPr>
              <w:t>(Casero J, Klayman D, Childs G, Scovill J, 1980; Fujii et al., 2005)</w:t>
            </w:r>
            <w:r w:rsidR="00801F08" w:rsidRPr="003C18B5">
              <w:rPr>
                <w:rFonts w:ascii="Arial" w:hAnsi="Arial" w:cs="Arial"/>
              </w:rPr>
              <w:fldChar w:fldCharType="end"/>
            </w:r>
            <w:r w:rsidR="00801F08" w:rsidRPr="003C18B5">
              <w:rPr>
                <w:rFonts w:ascii="Arial" w:hAnsi="Arial" w:cs="Arial"/>
              </w:rPr>
              <w:t>,</w:t>
            </w:r>
            <w:r w:rsidRPr="003C18B5">
              <w:rPr>
                <w:rFonts w:ascii="Arial" w:hAnsi="Arial" w:cs="Arial"/>
              </w:rPr>
              <w:t xml:space="preserve"> anticancerígena</w:t>
            </w:r>
            <w:r w:rsidR="00801F08" w:rsidRPr="003C18B5">
              <w:rPr>
                <w:rFonts w:ascii="Arial" w:hAnsi="Arial" w:cs="Arial"/>
              </w:rPr>
              <w:t xml:space="preserve"> </w:t>
            </w:r>
            <w:r w:rsidR="00801F08" w:rsidRPr="003C18B5">
              <w:rPr>
                <w:rFonts w:ascii="Arial" w:hAnsi="Arial" w:cs="Arial"/>
              </w:rPr>
              <w:fldChar w:fldCharType="begin" w:fldLock="1"/>
            </w:r>
            <w:r w:rsidR="00801F08" w:rsidRPr="003C18B5">
              <w:rPr>
                <w:rFonts w:ascii="Arial" w:hAnsi="Arial" w:cs="Arial"/>
              </w:rPr>
              <w:instrText>ADDIN CSL_CITATION { "citationItems" : [ { "id" : "ITEM-1", "itemData" : { "DOI" : "10.3390/molecules15020988", "abstract" : "Thiosemicarbazone analogs of papaveraldine and related compounds 1\u20136 were synthesized and evaluated for cytotoxic and antimalarial activities. The cytotoxic activity was tested against HuCCA-1, HepG2, A549 and MOLT-3 human cancer cell lines. Thiosemicarbazones 1\u20135 displayed cytotoxicity toward all the tested cell lines, while compounds 2\u20135 selectively showed potent activity against the MOLT-3 cell lines. Significantly, N(4)-phenyl-2-benzoylpyridine thiosemicarbazone 4 exhibited the most potent activity against HuCCA-1, HepG2, A549 and MOLT-3 cell lines with IC50 values of 0.03, 4.75, 0.04 and 0.004 \u00b5g/mL, respectively. In addition, 2-benzoylpyridine thio-semicarbazones 3 and 4 showed antimalarial activity against Plasmodium falciparum with IC50 of 10-7 to &lt; 10-6 M. The study demonstrates the quite promising activity of analog 4 as a lead molecule for further development.", "author" : [ { "dropping-particle" : "", "family" : "Pingaew", "given" : "Ratchanok", "non-dropping-particle" : "", "parse-names" : false, "suffix" : "" }, { "dropping-particle" : "", "family" : "Prachayasittikul", "given" : "Supaluk", "non-dropping-particle" : "", "parse-names" : false, "suffix" : "" }, { "dropping-particle" : "", "family" : "Ruchirawat", "given" : "Somsak", "non-dropping-particle" : "", "parse-names" : false, "suffix" : "" } ], "id" : "ITEM-1", "issue" : "4", "issued" : { "date-parts" : [ [ "2010" ] ] }, "page" : "988-996", "title" : "Synthesis, Cytotoxic and Antimalarial Activities of Benzoyl Thiosemicarbazone Analogs of Isoquinoline and Related Compounds", "type" : "article-journal" }, "uris" : [ "http://www.mendeley.com/documents/?uuid=92c4b205-6703-4b53-8944-9081cf882b1a" ] } ], "mendeley" : { "formattedCitation" : "(Pingaew, Prachayasittikul, &amp; Ruchirawat, 2010)", "plainTextFormattedCitation" : "(Pingaew, Prachayasittikul, &amp; Ruchirawat, 2010)", "previouslyFormattedCitation" : "(Pingaew, Prachayasittikul, &amp; Ruchirawat, 2010)" }, "properties" : {  }, "schema" : "https://github.com/citation-style-language/schema/raw/master/csl-citation.json" }</w:instrText>
            </w:r>
            <w:r w:rsidR="00801F08" w:rsidRPr="003C18B5">
              <w:rPr>
                <w:rFonts w:ascii="Arial" w:hAnsi="Arial" w:cs="Arial"/>
              </w:rPr>
              <w:fldChar w:fldCharType="separate"/>
            </w:r>
            <w:r w:rsidR="00801F08" w:rsidRPr="003C18B5">
              <w:rPr>
                <w:rFonts w:ascii="Arial" w:hAnsi="Arial" w:cs="Arial"/>
                <w:noProof/>
              </w:rPr>
              <w:t>(Pingaew, Prachayasittikul, &amp; Ruchirawat, 2010)</w:t>
            </w:r>
            <w:r w:rsidR="00801F08" w:rsidRPr="003C18B5">
              <w:rPr>
                <w:rFonts w:ascii="Arial" w:hAnsi="Arial" w:cs="Arial"/>
              </w:rPr>
              <w:fldChar w:fldCharType="end"/>
            </w:r>
            <w:r w:rsidRPr="003C18B5">
              <w:rPr>
                <w:rFonts w:ascii="Arial" w:hAnsi="Arial" w:cs="Arial"/>
              </w:rPr>
              <w:t>, anticonvulsionante</w:t>
            </w:r>
            <w:r w:rsidR="00801F08" w:rsidRPr="003C18B5">
              <w:rPr>
                <w:rFonts w:ascii="Arial" w:hAnsi="Arial" w:cs="Arial"/>
              </w:rPr>
              <w:t xml:space="preserve"> </w:t>
            </w:r>
            <w:r w:rsidR="00801F08" w:rsidRPr="003C18B5">
              <w:rPr>
                <w:rFonts w:ascii="Arial" w:hAnsi="Arial" w:cs="Arial"/>
              </w:rPr>
              <w:fldChar w:fldCharType="begin" w:fldLock="1"/>
            </w:r>
            <w:r w:rsidR="00801F08" w:rsidRPr="003C18B5">
              <w:rPr>
                <w:rFonts w:ascii="Arial" w:hAnsi="Arial" w:cs="Arial"/>
              </w:rPr>
              <w:instrText>ADDIN CSL_CITATION { "citationItems" : [ { "id" : "ITEM-1", "itemData" : { "DOI" : "10.1016/j.biopha.2004.04.013", "author" : [ { "dropping-particle" : "", "family" : "Yogeeswari", "given" : "P", "non-dropping-particle" : "", "parse-names" : false, "suffix" : "" }, { "dropping-particle" : "", "family" : "Sriram", "given" : "D", "non-dropping-particle" : "", "parse-names" : false, "suffix" : "" }, { "dropping-particle" : "", "family" : "Veena", "given" : "V", "non-dropping-particle" : "", "parse-names" : false, "suffix" : "" }, { "dropping-particle" : "", "family" : "Kavya", "given" : "R", "non-dropping-particle" : "", "parse-names" : false, "suffix" : "" }, { "dropping-particle" : "", "family" : "Rakhra", "given" : "K", "non-dropping-particle" : "", "parse-names" : false, "suffix" : "" }, { "dropping-particle" : "", "family" : "Ragavendran", "given" : "J Vaigunda", "non-dropping-particle" : "", "parse-names" : false, "suffix" : "" }, { "dropping-particle" : "", "family" : "Mehta", "given" : "S", "non-dropping-particle" : "", "parse-names" : false, "suffix" : "" }, { "dropping-particle" : "", "family" : "Thirumurugan", "given" : "R", "non-dropping-particle" : "", "parse-names" : false, "suffix" : "" }, { "dropping-particle" : "", "family" : "Stables", "given" : "J P", "non-dropping-particle" : "", "parse-names" : false, "suffix" : "" } ], "id" : "ITEM-1", "issued" : { "date-parts" : [ [ "2005" ] ] }, "page" : "51-55", "title" : "Synthesis of aryl semicarbazones as potential anticonvulsant agents", "type" : "article-journal", "volume" : "59" }, "uris" : [ "http://www.mendeley.com/documents/?uuid=512c9aad-b17f-46c7-b83d-ca5890a4d3b3" ] } ], "mendeley" : { "formattedCitation" : "(Yogeeswari et al., 2005)", "plainTextFormattedCitation" : "(Yogeeswari et al., 2005)", "previouslyFormattedCitation" : "(Yogeeswari et al., 2005)" }, "properties" : {  }, "schema" : "https://github.com/citation-style-language/schema/raw/master/csl-citation.json" }</w:instrText>
            </w:r>
            <w:r w:rsidR="00801F08" w:rsidRPr="003C18B5">
              <w:rPr>
                <w:rFonts w:ascii="Arial" w:hAnsi="Arial" w:cs="Arial"/>
              </w:rPr>
              <w:fldChar w:fldCharType="separate"/>
            </w:r>
            <w:r w:rsidR="00801F08" w:rsidRPr="003C18B5">
              <w:rPr>
                <w:rFonts w:ascii="Arial" w:hAnsi="Arial" w:cs="Arial"/>
                <w:noProof/>
              </w:rPr>
              <w:t>(Yogeeswari et al., 2005)</w:t>
            </w:r>
            <w:r w:rsidR="00801F08" w:rsidRPr="003C18B5">
              <w:rPr>
                <w:rFonts w:ascii="Arial" w:hAnsi="Arial" w:cs="Arial"/>
              </w:rPr>
              <w:fldChar w:fldCharType="end"/>
            </w:r>
            <w:r w:rsidRPr="003C18B5">
              <w:rPr>
                <w:rFonts w:ascii="Arial" w:hAnsi="Arial" w:cs="Arial"/>
              </w:rPr>
              <w:t>, antibacterial</w:t>
            </w:r>
            <w:r w:rsidR="00801F08" w:rsidRPr="003C18B5">
              <w:rPr>
                <w:rFonts w:ascii="Arial" w:hAnsi="Arial" w:cs="Arial"/>
              </w:rPr>
              <w:t xml:space="preserve"> </w:t>
            </w:r>
            <w:r w:rsidR="00801F08" w:rsidRPr="003C18B5">
              <w:rPr>
                <w:rFonts w:ascii="Arial" w:hAnsi="Arial" w:cs="Arial"/>
              </w:rPr>
              <w:fldChar w:fldCharType="begin" w:fldLock="1"/>
            </w:r>
            <w:r w:rsidR="0025361F" w:rsidRPr="003C18B5">
              <w:rPr>
                <w:rFonts w:ascii="Arial" w:hAnsi="Arial" w:cs="Arial"/>
              </w:rPr>
              <w:instrText>ADDIN CSL_CITATION { "citationItems" : [ { "id" : "ITEM-1", "itemData" : { "author" : [ { "dropping-particle" : "", "family" : "Mohamed I; Hussniyia Al-D", "given" : "", "non-dropping-particle" : "", "parse-names" : false, "suffix" : "" } ], "container-title" : "Der Chemica Sinica", "id" : "ITEM-1", "issue" : "1", "issued" : { "date-parts" : [ [ "2011" ] ] }, "page" : "171-173", "title" : "Synthesis and antibacterial activity of semicarbazone derivatives of some carbonyl compounds", "type" : "article-journal", "volume" : "2" }, "uris" : [ "http://www.mendeley.com/documents/?uuid=d19b393a-0b19-4dd8-a2b6-1c34d4028423" ] } ], "mendeley" : { "formattedCitation" : "(Mohamed I; Hussniyia Al-D, 2011)", "plainTextFormattedCitation" : "(Mohamed I; Hussniyia Al-D, 2011)", "previouslyFormattedCitation" : "(Mohamed I; Hussniyia Al-D, 2011)" }, "properties" : {  }, "schema" : "https://github.com/citation-style-language/schema/raw/master/csl-citation.json" }</w:instrText>
            </w:r>
            <w:r w:rsidR="00801F08" w:rsidRPr="003C18B5">
              <w:rPr>
                <w:rFonts w:ascii="Arial" w:hAnsi="Arial" w:cs="Arial"/>
              </w:rPr>
              <w:fldChar w:fldCharType="separate"/>
            </w:r>
            <w:r w:rsidR="0025361F" w:rsidRPr="003C18B5">
              <w:rPr>
                <w:rFonts w:ascii="Arial" w:hAnsi="Arial" w:cs="Arial"/>
                <w:noProof/>
              </w:rPr>
              <w:t>(Mohamed I; Hussniyia Al-D, 2011)</w:t>
            </w:r>
            <w:r w:rsidR="00801F08" w:rsidRPr="003C18B5">
              <w:rPr>
                <w:rFonts w:ascii="Arial" w:hAnsi="Arial" w:cs="Arial"/>
              </w:rPr>
              <w:fldChar w:fldCharType="end"/>
            </w:r>
            <w:r w:rsidRPr="003C18B5">
              <w:rPr>
                <w:rFonts w:ascii="Arial" w:hAnsi="Arial" w:cs="Arial"/>
              </w:rPr>
              <w:t>, entre otras. Las semicarbazonas y tiosemicarbazonas son obtenidas por condensación de una semicarbazida o tiosemicarbazida con un compuesto carbonílico (aldehído o cetona) adecuado, y en solución existen como mezcla de tautómeros en equilibrio (Figura 1).</w:t>
            </w:r>
          </w:p>
          <w:tbl>
            <w:tblPr>
              <w:tblW w:w="0" w:type="auto"/>
              <w:jc w:val="center"/>
              <w:tblLayout w:type="fixed"/>
              <w:tblLook w:val="04A0"/>
            </w:tblPr>
            <w:tblGrid>
              <w:gridCol w:w="8075"/>
            </w:tblGrid>
            <w:tr w:rsidR="00D80260" w:rsidRPr="003C18B5" w:rsidTr="0025361F">
              <w:trPr>
                <w:trHeight w:val="2145"/>
                <w:jc w:val="center"/>
              </w:trPr>
              <w:tc>
                <w:tcPr>
                  <w:tcW w:w="8075" w:type="dxa"/>
                  <w:vAlign w:val="center"/>
                </w:tcPr>
                <w:p w:rsidR="00D80260" w:rsidRPr="003C18B5" w:rsidRDefault="00D80260" w:rsidP="00E03BDD">
                  <w:pPr>
                    <w:autoSpaceDE w:val="0"/>
                    <w:autoSpaceDN w:val="0"/>
                    <w:adjustRightInd w:val="0"/>
                    <w:jc w:val="center"/>
                    <w:rPr>
                      <w:rFonts w:ascii="Arial" w:hAnsi="Arial" w:cs="Arial"/>
                    </w:rPr>
                  </w:pPr>
                  <w:r w:rsidRPr="003C18B5">
                    <w:rPr>
                      <w:rFonts w:ascii="Arial" w:hAnsi="Arial" w:cs="Arial"/>
                    </w:rPr>
                    <w:object w:dxaOrig="8247" w:dyaOrig="2069">
                      <v:shape id="_x0000_i1030" type="#_x0000_t75" style="width:373.85pt;height:94.15pt" o:ole="">
                        <v:imagedata r:id="rId26" o:title=""/>
                      </v:shape>
                      <o:OLEObject Type="Embed" ProgID="ACD.ChemSketch.20" ShapeID="_x0000_i1030" DrawAspect="Content" ObjectID="_1574214139" r:id="rId27"/>
                    </w:object>
                  </w:r>
                </w:p>
              </w:tc>
            </w:tr>
            <w:tr w:rsidR="00D80260" w:rsidRPr="003C18B5" w:rsidTr="0025361F">
              <w:trPr>
                <w:trHeight w:val="1682"/>
                <w:jc w:val="center"/>
              </w:trPr>
              <w:tc>
                <w:tcPr>
                  <w:tcW w:w="8075" w:type="dxa"/>
                </w:tcPr>
                <w:tbl>
                  <w:tblPr>
                    <w:tblW w:w="0" w:type="auto"/>
                    <w:jc w:val="center"/>
                    <w:tblBorders>
                      <w:top w:val="single" w:sz="4" w:space="0" w:color="000000"/>
                      <w:bottom w:val="single" w:sz="4" w:space="0" w:color="000000"/>
                    </w:tblBorders>
                    <w:tblLayout w:type="fixed"/>
                    <w:tblLook w:val="04A0"/>
                  </w:tblPr>
                  <w:tblGrid>
                    <w:gridCol w:w="2152"/>
                    <w:gridCol w:w="270"/>
                    <w:gridCol w:w="1882"/>
                    <w:gridCol w:w="1672"/>
                    <w:gridCol w:w="1261"/>
                  </w:tblGrid>
                  <w:tr w:rsidR="00D80260" w:rsidRPr="003C18B5" w:rsidTr="00B51C22">
                    <w:trPr>
                      <w:trHeight w:val="380"/>
                      <w:jc w:val="center"/>
                    </w:trPr>
                    <w:tc>
                      <w:tcPr>
                        <w:tcW w:w="2152" w:type="dxa"/>
                        <w:tcBorders>
                          <w:top w:val="single" w:sz="12" w:space="0" w:color="000000"/>
                          <w:bottom w:val="single" w:sz="12" w:space="0" w:color="000000"/>
                        </w:tcBorders>
                        <w:shd w:val="pct10" w:color="auto" w:fill="auto"/>
                        <w:vAlign w:val="center"/>
                      </w:tcPr>
                      <w:p w:rsidR="00D80260" w:rsidRPr="003C18B5" w:rsidRDefault="00D80260" w:rsidP="00B51C22">
                        <w:pPr>
                          <w:autoSpaceDE w:val="0"/>
                          <w:autoSpaceDN w:val="0"/>
                          <w:adjustRightInd w:val="0"/>
                          <w:spacing w:after="0"/>
                          <w:jc w:val="center"/>
                          <w:rPr>
                            <w:rFonts w:ascii="Arial" w:hAnsi="Arial" w:cs="Arial"/>
                            <w:b/>
                          </w:rPr>
                        </w:pPr>
                        <w:r w:rsidRPr="003C18B5">
                          <w:rPr>
                            <w:rFonts w:ascii="Arial" w:hAnsi="Arial" w:cs="Arial"/>
                            <w:b/>
                          </w:rPr>
                          <w:t>Compuesto</w:t>
                        </w:r>
                      </w:p>
                    </w:tc>
                    <w:tc>
                      <w:tcPr>
                        <w:tcW w:w="270" w:type="dxa"/>
                        <w:tcBorders>
                          <w:top w:val="single" w:sz="12" w:space="0" w:color="000000"/>
                          <w:bottom w:val="single" w:sz="12" w:space="0" w:color="000000"/>
                        </w:tcBorders>
                        <w:shd w:val="pct10" w:color="auto" w:fill="auto"/>
                        <w:vAlign w:val="center"/>
                      </w:tcPr>
                      <w:p w:rsidR="00D80260" w:rsidRPr="003C18B5" w:rsidRDefault="00D80260" w:rsidP="00B51C22">
                        <w:pPr>
                          <w:autoSpaceDE w:val="0"/>
                          <w:autoSpaceDN w:val="0"/>
                          <w:adjustRightInd w:val="0"/>
                          <w:spacing w:after="0"/>
                          <w:jc w:val="center"/>
                          <w:rPr>
                            <w:rFonts w:ascii="Arial" w:hAnsi="Arial" w:cs="Arial"/>
                            <w:b/>
                          </w:rPr>
                        </w:pPr>
                        <w:r w:rsidRPr="003C18B5">
                          <w:rPr>
                            <w:rFonts w:ascii="Arial" w:hAnsi="Arial" w:cs="Arial"/>
                            <w:b/>
                          </w:rPr>
                          <w:t>X</w:t>
                        </w:r>
                      </w:p>
                    </w:tc>
                    <w:tc>
                      <w:tcPr>
                        <w:tcW w:w="1882" w:type="dxa"/>
                        <w:tcBorders>
                          <w:top w:val="single" w:sz="12" w:space="0" w:color="000000"/>
                          <w:bottom w:val="single" w:sz="12" w:space="0" w:color="000000"/>
                        </w:tcBorders>
                        <w:shd w:val="pct10" w:color="auto" w:fill="auto"/>
                        <w:vAlign w:val="center"/>
                      </w:tcPr>
                      <w:p w:rsidR="00D80260" w:rsidRPr="003C18B5" w:rsidRDefault="00D80260" w:rsidP="00B51C22">
                        <w:pPr>
                          <w:autoSpaceDE w:val="0"/>
                          <w:autoSpaceDN w:val="0"/>
                          <w:adjustRightInd w:val="0"/>
                          <w:spacing w:after="0"/>
                          <w:jc w:val="center"/>
                          <w:rPr>
                            <w:rFonts w:ascii="Arial" w:hAnsi="Arial" w:cs="Arial"/>
                            <w:b/>
                          </w:rPr>
                        </w:pPr>
                        <w:r w:rsidRPr="003C18B5">
                          <w:rPr>
                            <w:rFonts w:ascii="Arial" w:hAnsi="Arial" w:cs="Arial"/>
                            <w:b/>
                          </w:rPr>
                          <w:t>I</w:t>
                        </w:r>
                      </w:p>
                    </w:tc>
                    <w:tc>
                      <w:tcPr>
                        <w:tcW w:w="1672" w:type="dxa"/>
                        <w:tcBorders>
                          <w:top w:val="single" w:sz="12" w:space="0" w:color="000000"/>
                          <w:bottom w:val="single" w:sz="12" w:space="0" w:color="000000"/>
                        </w:tcBorders>
                        <w:shd w:val="pct10" w:color="auto" w:fill="auto"/>
                        <w:vAlign w:val="center"/>
                      </w:tcPr>
                      <w:p w:rsidR="00D80260" w:rsidRPr="003C18B5" w:rsidRDefault="00D80260" w:rsidP="00B51C22">
                        <w:pPr>
                          <w:autoSpaceDE w:val="0"/>
                          <w:autoSpaceDN w:val="0"/>
                          <w:adjustRightInd w:val="0"/>
                          <w:spacing w:after="0"/>
                          <w:jc w:val="center"/>
                          <w:rPr>
                            <w:rFonts w:ascii="Arial" w:hAnsi="Arial" w:cs="Arial"/>
                            <w:b/>
                          </w:rPr>
                        </w:pPr>
                        <w:r w:rsidRPr="003C18B5">
                          <w:rPr>
                            <w:rFonts w:ascii="Arial" w:hAnsi="Arial" w:cs="Arial"/>
                            <w:b/>
                          </w:rPr>
                          <w:t>II</w:t>
                        </w:r>
                      </w:p>
                    </w:tc>
                    <w:tc>
                      <w:tcPr>
                        <w:tcW w:w="1261" w:type="dxa"/>
                        <w:tcBorders>
                          <w:top w:val="single" w:sz="12" w:space="0" w:color="000000"/>
                          <w:bottom w:val="single" w:sz="12" w:space="0" w:color="000000"/>
                        </w:tcBorders>
                        <w:shd w:val="pct10" w:color="auto" w:fill="auto"/>
                        <w:vAlign w:val="center"/>
                      </w:tcPr>
                      <w:p w:rsidR="00D80260" w:rsidRPr="003C18B5" w:rsidRDefault="00D80260" w:rsidP="00B51C22">
                        <w:pPr>
                          <w:autoSpaceDE w:val="0"/>
                          <w:autoSpaceDN w:val="0"/>
                          <w:adjustRightInd w:val="0"/>
                          <w:spacing w:after="0"/>
                          <w:jc w:val="center"/>
                          <w:rPr>
                            <w:rFonts w:ascii="Arial" w:hAnsi="Arial" w:cs="Arial"/>
                            <w:b/>
                          </w:rPr>
                        </w:pPr>
                        <w:r w:rsidRPr="003C18B5">
                          <w:rPr>
                            <w:rFonts w:ascii="Arial" w:hAnsi="Arial" w:cs="Arial"/>
                            <w:b/>
                          </w:rPr>
                          <w:t>III</w:t>
                        </w:r>
                      </w:p>
                    </w:tc>
                  </w:tr>
                  <w:tr w:rsidR="00D80260" w:rsidRPr="003C18B5" w:rsidTr="00B51C22">
                    <w:trPr>
                      <w:trHeight w:val="306"/>
                      <w:jc w:val="center"/>
                    </w:trPr>
                    <w:tc>
                      <w:tcPr>
                        <w:tcW w:w="2152" w:type="dxa"/>
                        <w:tcBorders>
                          <w:top w:val="single" w:sz="12" w:space="0" w:color="000000"/>
                        </w:tcBorders>
                        <w:vAlign w:val="center"/>
                      </w:tcPr>
                      <w:p w:rsidR="00D80260" w:rsidRPr="003C18B5" w:rsidRDefault="00D80260" w:rsidP="00B51C22">
                        <w:pPr>
                          <w:autoSpaceDE w:val="0"/>
                          <w:autoSpaceDN w:val="0"/>
                          <w:adjustRightInd w:val="0"/>
                          <w:spacing w:after="0"/>
                          <w:jc w:val="center"/>
                          <w:rPr>
                            <w:rFonts w:ascii="Arial" w:hAnsi="Arial" w:cs="Arial"/>
                          </w:rPr>
                        </w:pPr>
                        <w:r w:rsidRPr="003C18B5">
                          <w:rPr>
                            <w:rFonts w:ascii="Arial" w:hAnsi="Arial" w:cs="Arial"/>
                          </w:rPr>
                          <w:t>Semicarbazona</w:t>
                        </w:r>
                      </w:p>
                    </w:tc>
                    <w:tc>
                      <w:tcPr>
                        <w:tcW w:w="270" w:type="dxa"/>
                        <w:tcBorders>
                          <w:top w:val="single" w:sz="12" w:space="0" w:color="000000"/>
                        </w:tcBorders>
                        <w:vAlign w:val="center"/>
                      </w:tcPr>
                      <w:p w:rsidR="00D80260" w:rsidRPr="003C18B5" w:rsidRDefault="00D80260" w:rsidP="00B51C22">
                        <w:pPr>
                          <w:autoSpaceDE w:val="0"/>
                          <w:autoSpaceDN w:val="0"/>
                          <w:adjustRightInd w:val="0"/>
                          <w:spacing w:after="0"/>
                          <w:jc w:val="center"/>
                          <w:rPr>
                            <w:rFonts w:ascii="Arial" w:hAnsi="Arial" w:cs="Arial"/>
                          </w:rPr>
                        </w:pPr>
                        <w:r w:rsidRPr="003C18B5">
                          <w:rPr>
                            <w:rFonts w:ascii="Arial" w:hAnsi="Arial" w:cs="Arial"/>
                          </w:rPr>
                          <w:t>O</w:t>
                        </w:r>
                      </w:p>
                    </w:tc>
                    <w:tc>
                      <w:tcPr>
                        <w:tcW w:w="1882" w:type="dxa"/>
                        <w:tcBorders>
                          <w:top w:val="single" w:sz="12" w:space="0" w:color="000000"/>
                        </w:tcBorders>
                        <w:vAlign w:val="center"/>
                      </w:tcPr>
                      <w:p w:rsidR="00D80260" w:rsidRPr="003C18B5" w:rsidRDefault="00D80260" w:rsidP="00B51C22">
                        <w:pPr>
                          <w:autoSpaceDE w:val="0"/>
                          <w:autoSpaceDN w:val="0"/>
                          <w:adjustRightInd w:val="0"/>
                          <w:spacing w:after="0"/>
                          <w:jc w:val="center"/>
                          <w:rPr>
                            <w:rFonts w:ascii="Arial" w:hAnsi="Arial" w:cs="Arial"/>
                          </w:rPr>
                        </w:pPr>
                        <w:r w:rsidRPr="003C18B5">
                          <w:rPr>
                            <w:rFonts w:ascii="Arial" w:hAnsi="Arial" w:cs="Arial"/>
                          </w:rPr>
                          <w:t>Ceto-amina</w:t>
                        </w:r>
                      </w:p>
                    </w:tc>
                    <w:tc>
                      <w:tcPr>
                        <w:tcW w:w="1672" w:type="dxa"/>
                        <w:tcBorders>
                          <w:top w:val="single" w:sz="12" w:space="0" w:color="000000"/>
                        </w:tcBorders>
                        <w:vAlign w:val="center"/>
                      </w:tcPr>
                      <w:p w:rsidR="00D80260" w:rsidRPr="003C18B5" w:rsidRDefault="00D80260" w:rsidP="00B51C22">
                        <w:pPr>
                          <w:autoSpaceDE w:val="0"/>
                          <w:autoSpaceDN w:val="0"/>
                          <w:adjustRightInd w:val="0"/>
                          <w:spacing w:after="0"/>
                          <w:jc w:val="center"/>
                          <w:rPr>
                            <w:rFonts w:ascii="Arial" w:hAnsi="Arial" w:cs="Arial"/>
                          </w:rPr>
                        </w:pPr>
                        <w:r w:rsidRPr="003C18B5">
                          <w:rPr>
                            <w:rFonts w:ascii="Arial" w:hAnsi="Arial" w:cs="Arial"/>
                          </w:rPr>
                          <w:t>Enol-amina</w:t>
                        </w:r>
                      </w:p>
                    </w:tc>
                    <w:tc>
                      <w:tcPr>
                        <w:tcW w:w="1261" w:type="dxa"/>
                        <w:tcBorders>
                          <w:top w:val="single" w:sz="12" w:space="0" w:color="000000"/>
                        </w:tcBorders>
                        <w:vAlign w:val="center"/>
                      </w:tcPr>
                      <w:p w:rsidR="00D80260" w:rsidRPr="003C18B5" w:rsidRDefault="00D80260" w:rsidP="00B51C22">
                        <w:pPr>
                          <w:autoSpaceDE w:val="0"/>
                          <w:autoSpaceDN w:val="0"/>
                          <w:adjustRightInd w:val="0"/>
                          <w:spacing w:after="0"/>
                          <w:jc w:val="center"/>
                          <w:rPr>
                            <w:rFonts w:ascii="Arial" w:hAnsi="Arial" w:cs="Arial"/>
                          </w:rPr>
                        </w:pPr>
                        <w:r w:rsidRPr="003C18B5">
                          <w:rPr>
                            <w:rFonts w:ascii="Arial" w:hAnsi="Arial" w:cs="Arial"/>
                          </w:rPr>
                          <w:t>Enolato</w:t>
                        </w:r>
                      </w:p>
                    </w:tc>
                  </w:tr>
                  <w:tr w:rsidR="00D80260" w:rsidRPr="003C18B5" w:rsidTr="00B51C22">
                    <w:trPr>
                      <w:trHeight w:val="384"/>
                      <w:jc w:val="center"/>
                    </w:trPr>
                    <w:tc>
                      <w:tcPr>
                        <w:tcW w:w="2152" w:type="dxa"/>
                        <w:tcBorders>
                          <w:bottom w:val="nil"/>
                        </w:tcBorders>
                        <w:vAlign w:val="center"/>
                      </w:tcPr>
                      <w:p w:rsidR="00D80260" w:rsidRPr="003C18B5" w:rsidRDefault="00D80260" w:rsidP="00E03BDD">
                        <w:pPr>
                          <w:autoSpaceDE w:val="0"/>
                          <w:autoSpaceDN w:val="0"/>
                          <w:adjustRightInd w:val="0"/>
                          <w:jc w:val="center"/>
                          <w:rPr>
                            <w:rFonts w:ascii="Arial" w:hAnsi="Arial" w:cs="Arial"/>
                          </w:rPr>
                        </w:pPr>
                        <w:r w:rsidRPr="003C18B5">
                          <w:rPr>
                            <w:rFonts w:ascii="Arial" w:hAnsi="Arial" w:cs="Arial"/>
                          </w:rPr>
                          <w:t>Tiosemicarbazona</w:t>
                        </w:r>
                      </w:p>
                    </w:tc>
                    <w:tc>
                      <w:tcPr>
                        <w:tcW w:w="270" w:type="dxa"/>
                        <w:tcBorders>
                          <w:bottom w:val="nil"/>
                        </w:tcBorders>
                        <w:vAlign w:val="center"/>
                      </w:tcPr>
                      <w:p w:rsidR="00D80260" w:rsidRPr="003C18B5" w:rsidRDefault="00D80260" w:rsidP="00E03BDD">
                        <w:pPr>
                          <w:autoSpaceDE w:val="0"/>
                          <w:autoSpaceDN w:val="0"/>
                          <w:adjustRightInd w:val="0"/>
                          <w:jc w:val="center"/>
                          <w:rPr>
                            <w:rFonts w:ascii="Arial" w:hAnsi="Arial" w:cs="Arial"/>
                          </w:rPr>
                        </w:pPr>
                        <w:r w:rsidRPr="003C18B5">
                          <w:rPr>
                            <w:rFonts w:ascii="Arial" w:hAnsi="Arial" w:cs="Arial"/>
                          </w:rPr>
                          <w:t>S</w:t>
                        </w:r>
                      </w:p>
                    </w:tc>
                    <w:tc>
                      <w:tcPr>
                        <w:tcW w:w="1882" w:type="dxa"/>
                        <w:tcBorders>
                          <w:bottom w:val="nil"/>
                        </w:tcBorders>
                        <w:vAlign w:val="center"/>
                      </w:tcPr>
                      <w:p w:rsidR="00D80260" w:rsidRPr="003C18B5" w:rsidRDefault="00D80260" w:rsidP="00E03BDD">
                        <w:pPr>
                          <w:autoSpaceDE w:val="0"/>
                          <w:autoSpaceDN w:val="0"/>
                          <w:adjustRightInd w:val="0"/>
                          <w:jc w:val="center"/>
                          <w:rPr>
                            <w:rFonts w:ascii="Arial" w:hAnsi="Arial" w:cs="Arial"/>
                          </w:rPr>
                        </w:pPr>
                        <w:r w:rsidRPr="003C18B5">
                          <w:rPr>
                            <w:rFonts w:ascii="Arial" w:hAnsi="Arial" w:cs="Arial"/>
                          </w:rPr>
                          <w:t>Tiona</w:t>
                        </w:r>
                      </w:p>
                    </w:tc>
                    <w:tc>
                      <w:tcPr>
                        <w:tcW w:w="1672" w:type="dxa"/>
                        <w:tcBorders>
                          <w:bottom w:val="nil"/>
                        </w:tcBorders>
                        <w:vAlign w:val="center"/>
                      </w:tcPr>
                      <w:p w:rsidR="00D80260" w:rsidRPr="003C18B5" w:rsidRDefault="00D80260" w:rsidP="00E03BDD">
                        <w:pPr>
                          <w:autoSpaceDE w:val="0"/>
                          <w:autoSpaceDN w:val="0"/>
                          <w:adjustRightInd w:val="0"/>
                          <w:jc w:val="center"/>
                          <w:rPr>
                            <w:rFonts w:ascii="Arial" w:hAnsi="Arial" w:cs="Arial"/>
                          </w:rPr>
                        </w:pPr>
                        <w:r w:rsidRPr="003C18B5">
                          <w:rPr>
                            <w:rFonts w:ascii="Arial" w:hAnsi="Arial" w:cs="Arial"/>
                          </w:rPr>
                          <w:t>Tiol-amina</w:t>
                        </w:r>
                      </w:p>
                    </w:tc>
                    <w:tc>
                      <w:tcPr>
                        <w:tcW w:w="1261" w:type="dxa"/>
                        <w:tcBorders>
                          <w:bottom w:val="nil"/>
                        </w:tcBorders>
                        <w:vAlign w:val="center"/>
                      </w:tcPr>
                      <w:p w:rsidR="00D80260" w:rsidRPr="003C18B5" w:rsidRDefault="00D80260" w:rsidP="00E03BDD">
                        <w:pPr>
                          <w:autoSpaceDE w:val="0"/>
                          <w:autoSpaceDN w:val="0"/>
                          <w:adjustRightInd w:val="0"/>
                          <w:jc w:val="center"/>
                          <w:rPr>
                            <w:rFonts w:ascii="Arial" w:hAnsi="Arial" w:cs="Arial"/>
                          </w:rPr>
                        </w:pPr>
                        <w:r w:rsidRPr="003C18B5">
                          <w:rPr>
                            <w:rFonts w:ascii="Arial" w:hAnsi="Arial" w:cs="Arial"/>
                          </w:rPr>
                          <w:t>Tiolato</w:t>
                        </w:r>
                      </w:p>
                    </w:tc>
                  </w:tr>
                  <w:tr w:rsidR="00D80260" w:rsidRPr="003C18B5" w:rsidTr="00B51C22">
                    <w:trPr>
                      <w:trHeight w:val="98"/>
                      <w:jc w:val="center"/>
                    </w:trPr>
                    <w:tc>
                      <w:tcPr>
                        <w:tcW w:w="7237" w:type="dxa"/>
                        <w:gridSpan w:val="5"/>
                        <w:tcBorders>
                          <w:top w:val="nil"/>
                          <w:bottom w:val="single" w:sz="12" w:space="0" w:color="000000"/>
                        </w:tcBorders>
                        <w:vAlign w:val="center"/>
                      </w:tcPr>
                      <w:p w:rsidR="00D80260" w:rsidRPr="003C18B5" w:rsidRDefault="00D80260" w:rsidP="00FC729B">
                        <w:pPr>
                          <w:autoSpaceDE w:val="0"/>
                          <w:autoSpaceDN w:val="0"/>
                          <w:adjustRightInd w:val="0"/>
                          <w:spacing w:after="0"/>
                          <w:jc w:val="center"/>
                          <w:rPr>
                            <w:rFonts w:ascii="Arial" w:hAnsi="Arial" w:cs="Arial"/>
                          </w:rPr>
                        </w:pPr>
                        <w:r w:rsidRPr="003C18B5">
                          <w:rPr>
                            <w:rFonts w:ascii="Arial" w:hAnsi="Arial" w:cs="Arial"/>
                          </w:rPr>
                          <w:t>R</w:t>
                        </w:r>
                        <w:r w:rsidRPr="003C18B5">
                          <w:rPr>
                            <w:rFonts w:ascii="Arial" w:hAnsi="Arial" w:cs="Arial"/>
                            <w:vertAlign w:val="superscript"/>
                          </w:rPr>
                          <w:t>1</w:t>
                        </w:r>
                        <w:r w:rsidRPr="003C18B5">
                          <w:rPr>
                            <w:rFonts w:ascii="Arial" w:hAnsi="Arial" w:cs="Arial"/>
                          </w:rPr>
                          <w:t>, R</w:t>
                        </w:r>
                        <w:r w:rsidRPr="003C18B5">
                          <w:rPr>
                            <w:rFonts w:ascii="Arial" w:hAnsi="Arial" w:cs="Arial"/>
                            <w:vertAlign w:val="superscript"/>
                          </w:rPr>
                          <w:t>2</w:t>
                        </w:r>
                        <w:r w:rsidRPr="003C18B5">
                          <w:rPr>
                            <w:rFonts w:ascii="Arial" w:hAnsi="Arial" w:cs="Arial"/>
                          </w:rPr>
                          <w:t>, R</w:t>
                        </w:r>
                        <w:r w:rsidRPr="003C18B5">
                          <w:rPr>
                            <w:rFonts w:ascii="Arial" w:hAnsi="Arial" w:cs="Arial"/>
                            <w:vertAlign w:val="superscript"/>
                          </w:rPr>
                          <w:t>3</w:t>
                        </w:r>
                        <w:r w:rsidRPr="003C18B5">
                          <w:rPr>
                            <w:rFonts w:ascii="Arial" w:hAnsi="Arial" w:cs="Arial"/>
                          </w:rPr>
                          <w:t>, R</w:t>
                        </w:r>
                        <w:r w:rsidRPr="003C18B5">
                          <w:rPr>
                            <w:rFonts w:ascii="Arial" w:hAnsi="Arial" w:cs="Arial"/>
                            <w:vertAlign w:val="superscript"/>
                          </w:rPr>
                          <w:t>4</w:t>
                        </w:r>
                        <w:r w:rsidRPr="003C18B5">
                          <w:rPr>
                            <w:rFonts w:ascii="Arial" w:hAnsi="Arial" w:cs="Arial"/>
                          </w:rPr>
                          <w:t xml:space="preserve"> = hidrógeno, alquil, aril, heterocíclo</w:t>
                        </w:r>
                      </w:p>
                    </w:tc>
                  </w:tr>
                </w:tbl>
                <w:p w:rsidR="00D80260" w:rsidRPr="003C18B5" w:rsidRDefault="00D80260" w:rsidP="00FC729B">
                  <w:pPr>
                    <w:autoSpaceDE w:val="0"/>
                    <w:autoSpaceDN w:val="0"/>
                    <w:adjustRightInd w:val="0"/>
                    <w:spacing w:before="120" w:after="100" w:afterAutospacing="1"/>
                    <w:jc w:val="center"/>
                    <w:rPr>
                      <w:rFonts w:ascii="Arial" w:hAnsi="Arial" w:cs="Arial"/>
                    </w:rPr>
                  </w:pPr>
                  <w:r w:rsidRPr="003C18B5">
                    <w:rPr>
                      <w:rFonts w:ascii="Arial" w:hAnsi="Arial" w:cs="Arial"/>
                      <w:b/>
                    </w:rPr>
                    <w:t>Figura 1</w:t>
                  </w:r>
                  <w:r w:rsidR="00F618A2" w:rsidRPr="003C18B5">
                    <w:rPr>
                      <w:rFonts w:ascii="Arial" w:hAnsi="Arial" w:cs="Arial"/>
                      <w:b/>
                    </w:rPr>
                    <w:t>.</w:t>
                  </w:r>
                  <w:r w:rsidRPr="003C18B5">
                    <w:rPr>
                      <w:rFonts w:ascii="Arial" w:hAnsi="Arial" w:cs="Arial"/>
                    </w:rPr>
                    <w:t xml:space="preserve"> Estructuras generales de las semicarbazonas y tiosemicarbazonas en sus distintas formas tautoméricas y aniónicas.</w:t>
                  </w:r>
                </w:p>
              </w:tc>
            </w:tr>
          </w:tbl>
          <w:p w:rsidR="000859D5" w:rsidRDefault="00FE395A" w:rsidP="000859D5">
            <w:pPr>
              <w:autoSpaceDE w:val="0"/>
              <w:autoSpaceDN w:val="0"/>
              <w:adjustRightInd w:val="0"/>
              <w:spacing w:before="240" w:after="240"/>
              <w:ind w:firstLine="572"/>
              <w:rPr>
                <w:rFonts w:ascii="Arial" w:hAnsi="Arial" w:cs="Arial"/>
              </w:rPr>
            </w:pPr>
            <w:r w:rsidRPr="003C18B5">
              <w:rPr>
                <w:rFonts w:ascii="Arial" w:hAnsi="Arial" w:cs="Arial"/>
              </w:rPr>
              <w:fldChar w:fldCharType="begin" w:fldLock="1"/>
            </w:r>
            <w:r w:rsidRPr="003C18B5">
              <w:rPr>
                <w:rFonts w:ascii="Arial" w:hAnsi="Arial" w:cs="Arial"/>
              </w:rPr>
              <w:instrText>ADDIN CSL_CITATION { "citationItems" : [ { "id" : "ITEM-1", "itemData" : { "DOI" : "10.1016/j.bmc.2006.09.055", "ISBN" : "0968-0896 (Print)\\r0968-0896 (Linking)", "ISSN" : "09680896", "PMID" : "17052908", "abstract" : "A targeted series of phenolic Mannich bases of benzaldehyde and (thio)semicarbazone derivatives were synthesized and evaluated in vitro against the malarial cysteine protease falcipain-2 and a chloroquine resistant strain (W2) of Plasmodium falciparum. A novel series of 4-aminoquinoline semicarbazones were the most effective inhibitors of falcipain-2 (most potent inhibitor had IC50 = 0.63 \u03bcM) while a bisquinoline semicarbazone compound 8f was the most potent antimalarial compound with an IC50 of 0.07 \u03bcM against W2. Compound 8f also weakly inhibited falcipain-2, with an IC50 of 3.16 \u03bcM, although its principal antiparasitic activity did not appear to be due to inhibition of this enzyme. \u00a9 2006 Elsevier Ltd. All rights reserved.", "author" : [ { "dropping-particle" : "", "family" : "Chipeleme", "given" : "Alex", "non-dropping-particle" : "", "parse-names" : false, "suffix" : "" }, { "dropping-particle" : "", "family" : "Gut", "given" : "Jiri", "non-dropping-particle" : "", "parse-names" : false, "suffix" : "" }, { "dropping-particle" : "", "family" : "Rosenthal", "given" : "Philip J.", "non-dropping-particle" : "", "parse-names" : false, "suffix" : "" }, { "dropping-particle" : "", "family" : "Chibale", "given" : "Kelly", "non-dropping-particle" : "", "parse-names" : false, "suffix" : "" } ], "container-title" : "Bioorganic and Medicinal Chemistry", "id" : "ITEM-1", "issue" : "1", "issued" : { "date-parts" : [ [ "2007" ] ] }, "page" : "273-282", "title" : "Synthesis and biological evaluation of phenolic Mannich bases of benzaldehyde and (thio)semicarbazone derivatives against the cysteine protease falcipain-2 and a chloroquine resistant strain of Plasmodium falciparum", "type" : "article-journal", "volume" : "15" }, "uris" : [ "http://www.mendeley.com/documents/?uuid=63e51fb3-5560-48b6-abb4-61edcf89abb6" ] } ], "mendeley" : { "formattedCitation" : "(Chipeleme et al., 2007)", "manualFormatting" : "Chipeleme et al., (2007)", "plainTextFormattedCitation" : "(Chipeleme et al., 2007)", "previouslyFormattedCitation" : "(Chipeleme et al., 2007)" }, "properties" : {  }, "schema" : "https://github.com/citation-style-language/schema/raw/master/csl-citation.json" }</w:instrText>
            </w:r>
            <w:r w:rsidRPr="003C18B5">
              <w:rPr>
                <w:rFonts w:ascii="Arial" w:hAnsi="Arial" w:cs="Arial"/>
              </w:rPr>
              <w:fldChar w:fldCharType="separate"/>
            </w:r>
            <w:r w:rsidRPr="003C18B5">
              <w:rPr>
                <w:rFonts w:ascii="Arial" w:hAnsi="Arial" w:cs="Arial"/>
                <w:noProof/>
              </w:rPr>
              <w:t>Chipeleme et al., (2007)</w:t>
            </w:r>
            <w:r w:rsidRPr="003C18B5">
              <w:rPr>
                <w:rFonts w:ascii="Arial" w:hAnsi="Arial" w:cs="Arial"/>
              </w:rPr>
              <w:fldChar w:fldCharType="end"/>
            </w:r>
            <w:r w:rsidR="00D80260" w:rsidRPr="003C18B5">
              <w:rPr>
                <w:rFonts w:ascii="Arial" w:hAnsi="Arial" w:cs="Arial"/>
              </w:rPr>
              <w:t xml:space="preserve"> identificaron que las semicarbazonas </w:t>
            </w:r>
            <w:r w:rsidR="00D80260" w:rsidRPr="000859D5">
              <w:rPr>
                <w:rFonts w:ascii="Arial" w:hAnsi="Arial" w:cs="Arial"/>
                <w:b/>
              </w:rPr>
              <w:t>3</w:t>
            </w:r>
            <w:r w:rsidR="00D80260" w:rsidRPr="003C18B5">
              <w:rPr>
                <w:rFonts w:ascii="Arial" w:hAnsi="Arial" w:cs="Arial"/>
              </w:rPr>
              <w:t xml:space="preserve"> y </w:t>
            </w:r>
            <w:r w:rsidR="00D80260" w:rsidRPr="000859D5">
              <w:rPr>
                <w:rFonts w:ascii="Arial" w:hAnsi="Arial" w:cs="Arial"/>
                <w:b/>
              </w:rPr>
              <w:t>4</w:t>
            </w:r>
            <w:r w:rsidR="002875E9" w:rsidRPr="003C18B5">
              <w:rPr>
                <w:rFonts w:ascii="Arial" w:hAnsi="Arial" w:cs="Arial"/>
              </w:rPr>
              <w:t xml:space="preserve"> (Figura 2</w:t>
            </w:r>
            <w:r w:rsidR="00D80260" w:rsidRPr="003C18B5">
              <w:rPr>
                <w:rFonts w:ascii="Arial" w:hAnsi="Arial" w:cs="Arial"/>
              </w:rPr>
              <w:t xml:space="preserve">) tienen la capacidad de inhibir el crecimiento del </w:t>
            </w:r>
            <w:r w:rsidR="00D80260" w:rsidRPr="003C18B5">
              <w:rPr>
                <w:rFonts w:ascii="Arial" w:hAnsi="Arial" w:cs="Arial"/>
                <w:i/>
              </w:rPr>
              <w:t>Plasmodium falciparum</w:t>
            </w:r>
            <w:r w:rsidR="00D80260" w:rsidRPr="003C18B5">
              <w:rPr>
                <w:rFonts w:ascii="Arial" w:hAnsi="Arial" w:cs="Arial"/>
              </w:rPr>
              <w:t xml:space="preserve">, pero el compuesto </w:t>
            </w:r>
            <w:r w:rsidR="00D80260" w:rsidRPr="000859D5">
              <w:rPr>
                <w:rFonts w:ascii="Arial" w:hAnsi="Arial" w:cs="Arial"/>
                <w:b/>
              </w:rPr>
              <w:t>3</w:t>
            </w:r>
            <w:r w:rsidR="00D80260" w:rsidRPr="003C18B5">
              <w:rPr>
                <w:rFonts w:ascii="Arial" w:hAnsi="Arial" w:cs="Arial"/>
              </w:rPr>
              <w:t xml:space="preserve"> es más potente, debido posiblemente a la presencia de un anillo quinolínico adicional que favorecería las interacciones con la hematina, bloqueando así el proceso de desintoxicación del parásito. Por otra parte, </w:t>
            </w:r>
            <w:r w:rsidRPr="003C18B5">
              <w:rPr>
                <w:rFonts w:ascii="Arial" w:hAnsi="Arial" w:cs="Arial"/>
              </w:rPr>
              <w:fldChar w:fldCharType="begin" w:fldLock="1"/>
            </w:r>
            <w:r w:rsidRPr="003C18B5">
              <w:rPr>
                <w:rFonts w:ascii="Arial" w:hAnsi="Arial" w:cs="Arial"/>
              </w:rPr>
              <w:instrText>ADDIN CSL_CITATION { "citationItems" : [ { "id" : "ITEM-1", "itemData" : { "DOI" : "10.1016/j.ejmech.2007.11.012", "ISBN" : "0223-5234", "ISSN" : "02235234", "PMID" : "18222568", "abstract" : "Seventeen semicarbazone and thiosemicarbazone derivatives were prepared and tested in vitro against a chloroquine resistant strain of Plasmodium falciparum (W2) to evaluate their antiplasmodial potential. Three thiosemicarbazones were found to be active against the parasite and non-toxic to human peripheral blood mononuclear cells (PBMC). Among these, compound 5b presented the lowest IC50 value against P. falciparum (7.2 ??M) and was the least toxic in the PBMC proliferation assay (IC50 = 73.5 ??M). It was selected for in vivo tests on mice infected with Plasmodium berghei (strain NK-65). The thiosemicarbazone 5b was able to reduce the parasitaemia by 61% at 20 mg/kg on day 7 after infection without any sign of toxicity to the animals. In comparison, the standard drug chloroquine at 15 mg/kg showed a reduction around 95%. These in vitro and in vivo results make 5b an interesting lead for further development. ?? 2007 Elsevier Masson SAS. All rights reserved.", "author" : [ { "dropping-particle" : "", "family" : "Oliveira", "given" : "Renata B.", "non-dropping-particle" : "de", "parse-names" : false, "suffix" : "" }, { "dropping-particle" : "", "family" : "Souza-Fagundes", "given" : "Elaine M.", "non-dropping-particle" : "de", "parse-names" : false, "suffix" : "" }, { "dropping-particle" : "", "family" : "Soares", "given" : "Rodrigo P P", "non-dropping-particle" : "", "parse-names" : false, "suffix" : "" }, { "dropping-particle" : "", "family" : "Andrade", "given" : "Anderson A.", "non-dropping-particle" : "", "parse-names" : false, "suffix" : "" }, { "dropping-particle" : "", "family" : "Krettli", "given" : "Antoniana U.", "non-dropping-particle" : "", "parse-names" : false, "suffix" : "" }, { "dropping-particle" : "", "family" : "Zani", "given" : "Carlos L.", "non-dropping-particle" : "", "parse-names" : false, "suffix" : "" } ], "container-title" : "European Journal of Medicinal Chemistry", "id" : "ITEM-1", "issue" : "9", "issued" : { "date-parts" : [ [ "2008" ] ] }, "page" : "1983-1988", "title" : "Synthesis and antimalarial activity of semicarbazone and thiosemicarbazone derivatives", "type" : "article-journal", "volume" : "43" }, "uris" : [ "http://www.mendeley.com/documents/?uuid=52b877df-948c-47ea-8b7d-13ef55e2950c" ] } ], "mendeley" : { "formattedCitation" : "(de Oliveira et al., 2008)", "manualFormatting" : "de Oliveira et al., (2008)", "plainTextFormattedCitation" : "(de Oliveira et al., 2008)", "previouslyFormattedCitation" : "(de Oliveira et al., 2008)" }, "properties" : {  }, "schema" : "https://github.com/citation-style-language/schema/raw/master/csl-citation.json" }</w:instrText>
            </w:r>
            <w:r w:rsidRPr="003C18B5">
              <w:rPr>
                <w:rFonts w:ascii="Arial" w:hAnsi="Arial" w:cs="Arial"/>
              </w:rPr>
              <w:fldChar w:fldCharType="separate"/>
            </w:r>
            <w:r w:rsidRPr="003C18B5">
              <w:rPr>
                <w:rFonts w:ascii="Arial" w:hAnsi="Arial" w:cs="Arial"/>
                <w:noProof/>
              </w:rPr>
              <w:t>de Oliveira et al., (2008)</w:t>
            </w:r>
            <w:r w:rsidRPr="003C18B5">
              <w:rPr>
                <w:rFonts w:ascii="Arial" w:hAnsi="Arial" w:cs="Arial"/>
              </w:rPr>
              <w:fldChar w:fldCharType="end"/>
            </w:r>
            <w:r w:rsidR="00D80260" w:rsidRPr="003C18B5">
              <w:rPr>
                <w:rFonts w:ascii="Arial" w:hAnsi="Arial" w:cs="Arial"/>
              </w:rPr>
              <w:t xml:space="preserve"> y</w:t>
            </w:r>
            <w:r w:rsidRPr="003C18B5">
              <w:rPr>
                <w:rFonts w:ascii="Arial" w:hAnsi="Arial" w:cs="Arial"/>
              </w:rPr>
              <w:t xml:space="preserve"> </w:t>
            </w:r>
            <w:r w:rsidRPr="003C18B5">
              <w:rPr>
                <w:rFonts w:ascii="Arial" w:hAnsi="Arial" w:cs="Arial"/>
                <w:noProof/>
              </w:rPr>
              <w:t>Chiyanzu et al., (2005)</w:t>
            </w:r>
            <w:r w:rsidRPr="003C18B5">
              <w:rPr>
                <w:rFonts w:ascii="Arial" w:hAnsi="Arial" w:cs="Arial"/>
              </w:rPr>
              <w:t xml:space="preserve"> </w:t>
            </w:r>
            <w:r w:rsidR="00D80260" w:rsidRPr="003C18B5">
              <w:rPr>
                <w:rFonts w:ascii="Arial" w:hAnsi="Arial" w:cs="Arial"/>
              </w:rPr>
              <w:t xml:space="preserve">sintetizaron las tiosemicarbazonas </w:t>
            </w:r>
            <w:r w:rsidR="00D80260" w:rsidRPr="000859D5">
              <w:rPr>
                <w:rFonts w:ascii="Arial" w:hAnsi="Arial" w:cs="Arial"/>
                <w:b/>
              </w:rPr>
              <w:t>5</w:t>
            </w:r>
            <w:r w:rsidR="000859D5">
              <w:rPr>
                <w:rFonts w:ascii="Arial" w:hAnsi="Arial" w:cs="Arial"/>
                <w:b/>
              </w:rPr>
              <w:t xml:space="preserve"> </w:t>
            </w:r>
            <w:r w:rsidR="00D80260" w:rsidRPr="003C18B5">
              <w:rPr>
                <w:rFonts w:ascii="Arial" w:hAnsi="Arial" w:cs="Arial"/>
              </w:rPr>
              <w:t xml:space="preserve">y </w:t>
            </w:r>
            <w:r w:rsidR="00D80260" w:rsidRPr="000859D5">
              <w:rPr>
                <w:rFonts w:ascii="Arial" w:hAnsi="Arial" w:cs="Arial"/>
                <w:b/>
              </w:rPr>
              <w:t>6</w:t>
            </w:r>
            <w:r w:rsidR="00D80260" w:rsidRPr="003C18B5">
              <w:rPr>
                <w:rFonts w:ascii="Arial" w:hAnsi="Arial" w:cs="Arial"/>
                <w:b/>
              </w:rPr>
              <w:t xml:space="preserve"> </w:t>
            </w:r>
            <w:r w:rsidR="00D80260" w:rsidRPr="003C18B5">
              <w:rPr>
                <w:rFonts w:ascii="Arial" w:hAnsi="Arial" w:cs="Arial"/>
              </w:rPr>
              <w:t xml:space="preserve">(Figura 2), respectivamente; observándose como </w:t>
            </w:r>
            <w:r w:rsidR="00D80260" w:rsidRPr="000859D5">
              <w:rPr>
                <w:rFonts w:ascii="Arial" w:hAnsi="Arial" w:cs="Arial"/>
                <w:b/>
              </w:rPr>
              <w:t>6</w:t>
            </w:r>
            <w:r w:rsidR="00D80260" w:rsidRPr="003C18B5">
              <w:rPr>
                <w:rFonts w:ascii="Arial" w:hAnsi="Arial" w:cs="Arial"/>
              </w:rPr>
              <w:t xml:space="preserve"> presenta una actividad antimalárica frente a cepas resistentes a cloroquina (W2) muy superior a </w:t>
            </w:r>
            <w:r w:rsidR="00D80260" w:rsidRPr="000859D5">
              <w:rPr>
                <w:rFonts w:ascii="Arial" w:hAnsi="Arial" w:cs="Arial"/>
                <w:b/>
              </w:rPr>
              <w:t>5</w:t>
            </w:r>
            <w:r w:rsidR="00D80260" w:rsidRPr="003C18B5">
              <w:rPr>
                <w:rFonts w:ascii="Arial" w:hAnsi="Arial" w:cs="Arial"/>
              </w:rPr>
              <w:t>, lo que permite afirmar la función modulador del fragmento carbonílico y la importancia del farmacóforo 7-cloro-4-aminoquinolina en el diseño de nuevos agentes quimioterapéuticos contra la malaria.</w:t>
            </w:r>
          </w:p>
          <w:p w:rsidR="000859D5" w:rsidRDefault="00D80260" w:rsidP="000859D5">
            <w:pPr>
              <w:autoSpaceDE w:val="0"/>
              <w:autoSpaceDN w:val="0"/>
              <w:adjustRightInd w:val="0"/>
              <w:spacing w:before="240" w:after="240"/>
              <w:ind w:firstLine="572"/>
              <w:rPr>
                <w:rFonts w:ascii="Arial" w:hAnsi="Arial" w:cs="Arial"/>
              </w:rPr>
            </w:pPr>
            <w:r w:rsidRPr="003C18B5">
              <w:rPr>
                <w:rFonts w:ascii="Arial" w:hAnsi="Arial" w:cs="Arial"/>
              </w:rPr>
              <w:t>Además de lo anterior, las semicarbazonas y tiosemicarbazonas tienen la capacidad de coordinarse con metales de transición, propiedad que ha sido empleada como estrategia de optimización de drogas (potencia, selectividad, estabilidad química y lipofilicidad) a través de la formación de complejos entre agentes biológicamente activos y algunos metales, como: Cu, Pt, Rh, Zn, Pd, Sn; entre otros.</w:t>
            </w:r>
          </w:p>
          <w:p w:rsidR="000859D5" w:rsidRPr="003C18B5" w:rsidRDefault="000859D5" w:rsidP="000859D5">
            <w:pPr>
              <w:autoSpaceDE w:val="0"/>
              <w:autoSpaceDN w:val="0"/>
              <w:adjustRightInd w:val="0"/>
              <w:spacing w:before="240" w:after="240"/>
              <w:ind w:firstLine="572"/>
              <w:rPr>
                <w:rFonts w:ascii="Arial" w:hAnsi="Arial" w:cs="Arial"/>
              </w:rPr>
            </w:pPr>
          </w:p>
          <w:tbl>
            <w:tblPr>
              <w:tblW w:w="9195" w:type="dxa"/>
              <w:jc w:val="center"/>
              <w:tblLayout w:type="fixed"/>
              <w:tblLook w:val="04A0"/>
            </w:tblPr>
            <w:tblGrid>
              <w:gridCol w:w="4339"/>
              <w:gridCol w:w="4856"/>
            </w:tblGrid>
            <w:tr w:rsidR="00D80260" w:rsidRPr="003C18B5" w:rsidTr="00114D33">
              <w:trPr>
                <w:trHeight w:val="3771"/>
                <w:jc w:val="center"/>
              </w:trPr>
              <w:tc>
                <w:tcPr>
                  <w:tcW w:w="4339" w:type="dxa"/>
                  <w:vAlign w:val="center"/>
                </w:tcPr>
                <w:p w:rsidR="00D80260" w:rsidRPr="003C18B5" w:rsidRDefault="00D80260" w:rsidP="00E03BDD">
                  <w:pPr>
                    <w:autoSpaceDE w:val="0"/>
                    <w:autoSpaceDN w:val="0"/>
                    <w:adjustRightInd w:val="0"/>
                    <w:jc w:val="center"/>
                    <w:rPr>
                      <w:rFonts w:ascii="Arial" w:hAnsi="Arial" w:cs="Arial"/>
                    </w:rPr>
                  </w:pPr>
                  <w:r w:rsidRPr="003C18B5">
                    <w:rPr>
                      <w:rFonts w:ascii="Arial" w:hAnsi="Arial" w:cs="Arial"/>
                    </w:rPr>
                    <w:object w:dxaOrig="3600" w:dyaOrig="2304">
                      <v:shape id="_x0000_i1031" type="#_x0000_t75" style="width:138.45pt;height:88.6pt" o:ole="">
                        <v:imagedata r:id="rId28" o:title=""/>
                      </v:shape>
                      <o:OLEObject Type="Embed" ProgID="ACD.ChemSketch.20" ShapeID="_x0000_i1031" DrawAspect="Content" ObjectID="_1574214140" r:id="rId29"/>
                    </w:object>
                  </w:r>
                </w:p>
                <w:p w:rsidR="00D80260" w:rsidRPr="003C18B5" w:rsidRDefault="00D80260" w:rsidP="00E03BDD">
                  <w:pPr>
                    <w:autoSpaceDE w:val="0"/>
                    <w:autoSpaceDN w:val="0"/>
                    <w:adjustRightInd w:val="0"/>
                    <w:jc w:val="center"/>
                    <w:rPr>
                      <w:rFonts w:ascii="Arial" w:hAnsi="Arial" w:cs="Arial"/>
                    </w:rPr>
                  </w:pPr>
                  <w:r w:rsidRPr="003C18B5">
                    <w:rPr>
                      <w:rFonts w:ascii="Arial" w:hAnsi="Arial" w:cs="Arial"/>
                    </w:rPr>
                    <w:t>NR</w:t>
                  </w:r>
                  <w:r w:rsidRPr="003C18B5">
                    <w:rPr>
                      <w:rFonts w:ascii="Arial" w:hAnsi="Arial" w:cs="Arial"/>
                      <w:vertAlign w:val="superscript"/>
                    </w:rPr>
                    <w:t>1</w:t>
                  </w:r>
                  <w:r w:rsidRPr="003C18B5">
                    <w:rPr>
                      <w:rFonts w:ascii="Arial" w:hAnsi="Arial" w:cs="Arial"/>
                    </w:rPr>
                    <w:t>R</w:t>
                  </w:r>
                  <w:r w:rsidRPr="003C18B5">
                    <w:rPr>
                      <w:rFonts w:ascii="Arial" w:hAnsi="Arial" w:cs="Arial"/>
                      <w:vertAlign w:val="superscript"/>
                    </w:rPr>
                    <w:t>2</w:t>
                  </w:r>
                  <w:r w:rsidRPr="003C18B5">
                    <w:rPr>
                      <w:rFonts w:ascii="Arial" w:hAnsi="Arial" w:cs="Arial"/>
                      <w:b/>
                    </w:rPr>
                    <w:t xml:space="preserve"> = </w:t>
                  </w:r>
                  <w:r w:rsidRPr="003C18B5">
                    <w:rPr>
                      <w:rFonts w:ascii="Arial" w:hAnsi="Arial" w:cs="Arial"/>
                    </w:rPr>
                    <w:t>4-(7-cloro-quinolinil)-piperazin</w:t>
                  </w:r>
                </w:p>
                <w:p w:rsidR="00D80260" w:rsidRPr="003C18B5" w:rsidRDefault="00D80260" w:rsidP="00E03BDD">
                  <w:pPr>
                    <w:autoSpaceDE w:val="0"/>
                    <w:autoSpaceDN w:val="0"/>
                    <w:adjustRightInd w:val="0"/>
                    <w:jc w:val="center"/>
                    <w:rPr>
                      <w:rFonts w:ascii="Arial" w:hAnsi="Arial" w:cs="Arial"/>
                      <w:b/>
                    </w:rPr>
                  </w:pPr>
                  <w:r w:rsidRPr="003C18B5">
                    <w:rPr>
                      <w:rFonts w:ascii="Arial" w:hAnsi="Arial" w:cs="Arial"/>
                    </w:rPr>
                    <w:t>R</w:t>
                  </w:r>
                  <w:r w:rsidRPr="003C18B5">
                    <w:rPr>
                      <w:rFonts w:ascii="Arial" w:hAnsi="Arial" w:cs="Arial"/>
                      <w:vertAlign w:val="superscript"/>
                    </w:rPr>
                    <w:t>3</w:t>
                  </w:r>
                  <w:r w:rsidRPr="003C18B5">
                    <w:rPr>
                      <w:rFonts w:ascii="Arial" w:hAnsi="Arial" w:cs="Arial"/>
                    </w:rPr>
                    <w:t xml:space="preserve"> = 2-[4-(7-cloro-quinolinil)-amino]etil</w:t>
                  </w:r>
                </w:p>
                <w:p w:rsidR="00D80260" w:rsidRPr="003C18B5" w:rsidRDefault="00D80260" w:rsidP="00E03BDD">
                  <w:pPr>
                    <w:autoSpaceDE w:val="0"/>
                    <w:autoSpaceDN w:val="0"/>
                    <w:adjustRightInd w:val="0"/>
                    <w:jc w:val="center"/>
                    <w:rPr>
                      <w:rFonts w:ascii="Arial" w:hAnsi="Arial" w:cs="Arial"/>
                    </w:rPr>
                  </w:pPr>
                  <w:r w:rsidRPr="003C18B5">
                    <w:rPr>
                      <w:rFonts w:ascii="Arial" w:hAnsi="Arial" w:cs="Arial"/>
                    </w:rPr>
                    <w:t>IC</w:t>
                  </w:r>
                  <w:r w:rsidRPr="003C18B5">
                    <w:rPr>
                      <w:rFonts w:ascii="Arial" w:hAnsi="Arial" w:cs="Arial"/>
                      <w:vertAlign w:val="subscript"/>
                    </w:rPr>
                    <w:t>50</w:t>
                  </w:r>
                  <w:r w:rsidRPr="003C18B5">
                    <w:rPr>
                      <w:rFonts w:ascii="Arial" w:hAnsi="Arial" w:cs="Arial"/>
                    </w:rPr>
                    <w:t xml:space="preserve"> (</w:t>
                  </w:r>
                  <w:r w:rsidRPr="003C18B5">
                    <w:rPr>
                      <w:rFonts w:ascii="Arial" w:hAnsi="Arial" w:cs="Arial"/>
                      <w:i/>
                    </w:rPr>
                    <w:t>Pf</w:t>
                  </w:r>
                  <w:r w:rsidRPr="003C18B5">
                    <w:rPr>
                      <w:rFonts w:ascii="Arial" w:hAnsi="Arial" w:cs="Arial"/>
                    </w:rPr>
                    <w:t>) = 0,077 µM</w:t>
                  </w:r>
                </w:p>
                <w:p w:rsidR="00D80260" w:rsidRPr="000859D5" w:rsidRDefault="00D80260" w:rsidP="00E03BDD">
                  <w:pPr>
                    <w:autoSpaceDE w:val="0"/>
                    <w:autoSpaceDN w:val="0"/>
                    <w:adjustRightInd w:val="0"/>
                    <w:jc w:val="center"/>
                    <w:rPr>
                      <w:rFonts w:ascii="Arial" w:hAnsi="Arial" w:cs="Arial"/>
                      <w:b/>
                    </w:rPr>
                  </w:pPr>
                  <w:r w:rsidRPr="000859D5">
                    <w:rPr>
                      <w:rFonts w:ascii="Arial" w:hAnsi="Arial" w:cs="Arial"/>
                      <w:b/>
                    </w:rPr>
                    <w:t>3</w:t>
                  </w:r>
                </w:p>
              </w:tc>
              <w:tc>
                <w:tcPr>
                  <w:tcW w:w="4856" w:type="dxa"/>
                  <w:vAlign w:val="center"/>
                </w:tcPr>
                <w:p w:rsidR="00D80260" w:rsidRPr="003C18B5" w:rsidRDefault="00D80260" w:rsidP="00E03BDD">
                  <w:pPr>
                    <w:autoSpaceDE w:val="0"/>
                    <w:autoSpaceDN w:val="0"/>
                    <w:adjustRightInd w:val="0"/>
                    <w:jc w:val="center"/>
                    <w:rPr>
                      <w:rFonts w:ascii="Arial" w:hAnsi="Arial" w:cs="Arial"/>
                    </w:rPr>
                  </w:pPr>
                  <w:r w:rsidRPr="003C18B5">
                    <w:rPr>
                      <w:rFonts w:ascii="Arial" w:hAnsi="Arial" w:cs="Arial"/>
                    </w:rPr>
                    <w:object w:dxaOrig="3600" w:dyaOrig="2304">
                      <v:shape id="_x0000_i1032" type="#_x0000_t75" style="width:139.15pt;height:89.3pt" o:ole="">
                        <v:imagedata r:id="rId28" o:title=""/>
                      </v:shape>
                      <o:OLEObject Type="Embed" ProgID="ACD.ChemSketch.20" ShapeID="_x0000_i1032" DrawAspect="Content" ObjectID="_1574214141" r:id="rId30"/>
                    </w:object>
                  </w:r>
                </w:p>
                <w:p w:rsidR="00D80260" w:rsidRPr="003C18B5" w:rsidRDefault="00D80260" w:rsidP="00E03BDD">
                  <w:pPr>
                    <w:autoSpaceDE w:val="0"/>
                    <w:autoSpaceDN w:val="0"/>
                    <w:adjustRightInd w:val="0"/>
                    <w:jc w:val="center"/>
                    <w:rPr>
                      <w:rFonts w:ascii="Arial" w:hAnsi="Arial" w:cs="Arial"/>
                      <w:b/>
                    </w:rPr>
                  </w:pPr>
                  <w:r w:rsidRPr="003C18B5">
                    <w:rPr>
                      <w:rFonts w:ascii="Arial" w:hAnsi="Arial" w:cs="Arial"/>
                    </w:rPr>
                    <w:t>NR</w:t>
                  </w:r>
                  <w:r w:rsidRPr="003C18B5">
                    <w:rPr>
                      <w:rFonts w:ascii="Arial" w:hAnsi="Arial" w:cs="Arial"/>
                      <w:vertAlign w:val="superscript"/>
                    </w:rPr>
                    <w:t>1</w:t>
                  </w:r>
                  <w:r w:rsidRPr="003C18B5">
                    <w:rPr>
                      <w:rFonts w:ascii="Arial" w:hAnsi="Arial" w:cs="Arial"/>
                    </w:rPr>
                    <w:t>R</w:t>
                  </w:r>
                  <w:r w:rsidRPr="003C18B5">
                    <w:rPr>
                      <w:rFonts w:ascii="Arial" w:hAnsi="Arial" w:cs="Arial"/>
                      <w:vertAlign w:val="superscript"/>
                    </w:rPr>
                    <w:t>2</w:t>
                  </w:r>
                  <w:r w:rsidRPr="003C18B5">
                    <w:rPr>
                      <w:rFonts w:ascii="Arial" w:hAnsi="Arial" w:cs="Arial"/>
                      <w:b/>
                    </w:rPr>
                    <w:t xml:space="preserve"> = </w:t>
                  </w:r>
                  <w:r w:rsidRPr="003C18B5">
                    <w:rPr>
                      <w:rFonts w:ascii="Arial" w:hAnsi="Arial" w:cs="Arial"/>
                    </w:rPr>
                    <w:t>pirrolidin</w:t>
                  </w:r>
                </w:p>
                <w:p w:rsidR="00D80260" w:rsidRPr="003C18B5" w:rsidRDefault="00D80260" w:rsidP="00E03BDD">
                  <w:pPr>
                    <w:autoSpaceDE w:val="0"/>
                    <w:autoSpaceDN w:val="0"/>
                    <w:adjustRightInd w:val="0"/>
                    <w:jc w:val="center"/>
                    <w:rPr>
                      <w:rFonts w:ascii="Arial" w:hAnsi="Arial" w:cs="Arial"/>
                      <w:b/>
                    </w:rPr>
                  </w:pPr>
                  <w:r w:rsidRPr="003C18B5">
                    <w:rPr>
                      <w:rFonts w:ascii="Arial" w:hAnsi="Arial" w:cs="Arial"/>
                    </w:rPr>
                    <w:t>R</w:t>
                  </w:r>
                  <w:r w:rsidRPr="003C18B5">
                    <w:rPr>
                      <w:rFonts w:ascii="Arial" w:hAnsi="Arial" w:cs="Arial"/>
                      <w:vertAlign w:val="superscript"/>
                    </w:rPr>
                    <w:t>3</w:t>
                  </w:r>
                  <w:r w:rsidRPr="003C18B5">
                    <w:rPr>
                      <w:rFonts w:ascii="Arial" w:hAnsi="Arial" w:cs="Arial"/>
                    </w:rPr>
                    <w:t xml:space="preserve"> = 2-[4-(7-cloro-quinolinil)-amino]etil</w:t>
                  </w:r>
                </w:p>
                <w:p w:rsidR="00D80260" w:rsidRPr="003C18B5" w:rsidRDefault="00D80260" w:rsidP="00E03BDD">
                  <w:pPr>
                    <w:autoSpaceDE w:val="0"/>
                    <w:autoSpaceDN w:val="0"/>
                    <w:adjustRightInd w:val="0"/>
                    <w:jc w:val="center"/>
                    <w:rPr>
                      <w:rFonts w:ascii="Arial" w:hAnsi="Arial" w:cs="Arial"/>
                    </w:rPr>
                  </w:pPr>
                  <w:r w:rsidRPr="003C18B5">
                    <w:rPr>
                      <w:rFonts w:ascii="Arial" w:hAnsi="Arial" w:cs="Arial"/>
                    </w:rPr>
                    <w:t>IC</w:t>
                  </w:r>
                  <w:r w:rsidRPr="003C18B5">
                    <w:rPr>
                      <w:rFonts w:ascii="Arial" w:hAnsi="Arial" w:cs="Arial"/>
                      <w:vertAlign w:val="subscript"/>
                    </w:rPr>
                    <w:t>50</w:t>
                  </w:r>
                  <w:r w:rsidRPr="003C18B5">
                    <w:rPr>
                      <w:rFonts w:ascii="Arial" w:hAnsi="Arial" w:cs="Arial"/>
                    </w:rPr>
                    <w:t xml:space="preserve"> (</w:t>
                  </w:r>
                  <w:r w:rsidRPr="003C18B5">
                    <w:rPr>
                      <w:rFonts w:ascii="Arial" w:hAnsi="Arial" w:cs="Arial"/>
                      <w:i/>
                    </w:rPr>
                    <w:t>Pf</w:t>
                  </w:r>
                  <w:r w:rsidRPr="003C18B5">
                    <w:rPr>
                      <w:rFonts w:ascii="Arial" w:hAnsi="Arial" w:cs="Arial"/>
                    </w:rPr>
                    <w:t>) = 1,07 µM</w:t>
                  </w:r>
                </w:p>
                <w:p w:rsidR="00D80260" w:rsidRPr="000859D5" w:rsidRDefault="00D80260" w:rsidP="00E03BDD">
                  <w:pPr>
                    <w:autoSpaceDE w:val="0"/>
                    <w:autoSpaceDN w:val="0"/>
                    <w:adjustRightInd w:val="0"/>
                    <w:jc w:val="center"/>
                    <w:rPr>
                      <w:rFonts w:ascii="Arial" w:hAnsi="Arial" w:cs="Arial"/>
                    </w:rPr>
                  </w:pPr>
                  <w:r w:rsidRPr="000859D5">
                    <w:rPr>
                      <w:rFonts w:ascii="Arial" w:hAnsi="Arial" w:cs="Arial"/>
                      <w:b/>
                    </w:rPr>
                    <w:t>4</w:t>
                  </w:r>
                </w:p>
              </w:tc>
            </w:tr>
            <w:tr w:rsidR="00D80260" w:rsidRPr="003C18B5" w:rsidTr="00114D33">
              <w:trPr>
                <w:trHeight w:val="199"/>
                <w:jc w:val="center"/>
              </w:trPr>
              <w:tc>
                <w:tcPr>
                  <w:tcW w:w="4339" w:type="dxa"/>
                  <w:vAlign w:val="center"/>
                </w:tcPr>
                <w:p w:rsidR="00D80260" w:rsidRPr="003C18B5" w:rsidRDefault="00D80260" w:rsidP="00E03BDD">
                  <w:pPr>
                    <w:autoSpaceDE w:val="0"/>
                    <w:autoSpaceDN w:val="0"/>
                    <w:adjustRightInd w:val="0"/>
                    <w:jc w:val="center"/>
                    <w:rPr>
                      <w:rFonts w:ascii="Arial" w:hAnsi="Arial" w:cs="Arial"/>
                    </w:rPr>
                  </w:pPr>
                  <w:r w:rsidRPr="003C18B5">
                    <w:rPr>
                      <w:rFonts w:ascii="Arial" w:hAnsi="Arial" w:cs="Arial"/>
                    </w:rPr>
                    <w:object w:dxaOrig="2736" w:dyaOrig="2218">
                      <v:shape id="_x0000_i1033" type="#_x0000_t75" style="width:105.9pt;height:85.85pt" o:ole="">
                        <v:imagedata r:id="rId31" o:title=""/>
                      </v:shape>
                      <o:OLEObject Type="Embed" ProgID="ACD.ChemSketch.20" ShapeID="_x0000_i1033" DrawAspect="Content" ObjectID="_1574214142" r:id="rId32"/>
                    </w:object>
                  </w:r>
                </w:p>
                <w:p w:rsidR="00D80260" w:rsidRPr="003C18B5" w:rsidRDefault="00D80260" w:rsidP="00E03BDD">
                  <w:pPr>
                    <w:autoSpaceDE w:val="0"/>
                    <w:autoSpaceDN w:val="0"/>
                    <w:adjustRightInd w:val="0"/>
                    <w:jc w:val="center"/>
                    <w:rPr>
                      <w:rFonts w:ascii="Arial" w:hAnsi="Arial" w:cs="Arial"/>
                    </w:rPr>
                  </w:pPr>
                  <w:r w:rsidRPr="003C18B5">
                    <w:rPr>
                      <w:rFonts w:ascii="Arial" w:hAnsi="Arial" w:cs="Arial"/>
                    </w:rPr>
                    <w:t>IC</w:t>
                  </w:r>
                  <w:r w:rsidRPr="003C18B5">
                    <w:rPr>
                      <w:rFonts w:ascii="Arial" w:hAnsi="Arial" w:cs="Arial"/>
                      <w:vertAlign w:val="subscript"/>
                    </w:rPr>
                    <w:t>50</w:t>
                  </w:r>
                  <w:r w:rsidRPr="003C18B5">
                    <w:rPr>
                      <w:rFonts w:ascii="Arial" w:hAnsi="Arial" w:cs="Arial"/>
                    </w:rPr>
                    <w:t xml:space="preserve"> (</w:t>
                  </w:r>
                  <w:r w:rsidRPr="003C18B5">
                    <w:rPr>
                      <w:rFonts w:ascii="Arial" w:hAnsi="Arial" w:cs="Arial"/>
                      <w:i/>
                    </w:rPr>
                    <w:t>Pf</w:t>
                  </w:r>
                  <w:r w:rsidRPr="003C18B5">
                    <w:rPr>
                      <w:rFonts w:ascii="Arial" w:hAnsi="Arial" w:cs="Arial"/>
                    </w:rPr>
                    <w:t>) = 7,2 µM</w:t>
                  </w:r>
                </w:p>
                <w:p w:rsidR="00D80260" w:rsidRPr="000859D5" w:rsidRDefault="00D80260" w:rsidP="00E03BDD">
                  <w:pPr>
                    <w:autoSpaceDE w:val="0"/>
                    <w:autoSpaceDN w:val="0"/>
                    <w:adjustRightInd w:val="0"/>
                    <w:jc w:val="center"/>
                    <w:rPr>
                      <w:rFonts w:ascii="Arial" w:hAnsi="Arial" w:cs="Arial"/>
                      <w:b/>
                    </w:rPr>
                  </w:pPr>
                  <w:r w:rsidRPr="000859D5">
                    <w:rPr>
                      <w:rFonts w:ascii="Arial" w:hAnsi="Arial" w:cs="Arial"/>
                      <w:b/>
                    </w:rPr>
                    <w:t>5</w:t>
                  </w:r>
                </w:p>
              </w:tc>
              <w:tc>
                <w:tcPr>
                  <w:tcW w:w="4856" w:type="dxa"/>
                  <w:vAlign w:val="center"/>
                </w:tcPr>
                <w:p w:rsidR="00D80260" w:rsidRPr="003C18B5" w:rsidRDefault="00D80260" w:rsidP="00E03BDD">
                  <w:pPr>
                    <w:autoSpaceDE w:val="0"/>
                    <w:autoSpaceDN w:val="0"/>
                    <w:adjustRightInd w:val="0"/>
                    <w:jc w:val="center"/>
                    <w:rPr>
                      <w:rFonts w:ascii="Arial" w:hAnsi="Arial" w:cs="Arial"/>
                    </w:rPr>
                  </w:pPr>
                  <w:r w:rsidRPr="003C18B5">
                    <w:rPr>
                      <w:rFonts w:ascii="Arial" w:hAnsi="Arial" w:cs="Arial"/>
                    </w:rPr>
                    <w:object w:dxaOrig="2487" w:dyaOrig="2309">
                      <v:shape id="_x0000_i1034" type="#_x0000_t75" style="width:97.6pt;height:90.7pt" o:ole="">
                        <v:imagedata r:id="rId33" o:title=""/>
                      </v:shape>
                      <o:OLEObject Type="Embed" ProgID="ACD.ChemSketch.20" ShapeID="_x0000_i1034" DrawAspect="Content" ObjectID="_1574214143" r:id="rId34"/>
                    </w:object>
                  </w:r>
                </w:p>
                <w:p w:rsidR="00D80260" w:rsidRPr="003C18B5" w:rsidRDefault="00D80260" w:rsidP="00E03BDD">
                  <w:pPr>
                    <w:autoSpaceDE w:val="0"/>
                    <w:autoSpaceDN w:val="0"/>
                    <w:adjustRightInd w:val="0"/>
                    <w:jc w:val="center"/>
                    <w:rPr>
                      <w:rFonts w:ascii="Arial" w:hAnsi="Arial" w:cs="Arial"/>
                      <w:b/>
                    </w:rPr>
                  </w:pPr>
                  <w:r w:rsidRPr="003C18B5">
                    <w:rPr>
                      <w:rFonts w:ascii="Arial" w:hAnsi="Arial" w:cs="Arial"/>
                    </w:rPr>
                    <w:t>R</w:t>
                  </w:r>
                  <w:r w:rsidRPr="003C18B5">
                    <w:rPr>
                      <w:rFonts w:ascii="Arial" w:hAnsi="Arial" w:cs="Arial"/>
                      <w:vertAlign w:val="superscript"/>
                    </w:rPr>
                    <w:t>1</w:t>
                  </w:r>
                  <w:r w:rsidRPr="003C18B5">
                    <w:rPr>
                      <w:rFonts w:ascii="Arial" w:hAnsi="Arial" w:cs="Arial"/>
                    </w:rPr>
                    <w:t xml:space="preserve"> = 2-[4-(7-cloro-quinolinil)-amino]etil</w:t>
                  </w:r>
                </w:p>
                <w:p w:rsidR="00D80260" w:rsidRPr="003C18B5" w:rsidRDefault="00D80260" w:rsidP="00E03BDD">
                  <w:pPr>
                    <w:autoSpaceDE w:val="0"/>
                    <w:autoSpaceDN w:val="0"/>
                    <w:adjustRightInd w:val="0"/>
                    <w:jc w:val="center"/>
                    <w:rPr>
                      <w:rFonts w:ascii="Arial" w:hAnsi="Arial" w:cs="Arial"/>
                    </w:rPr>
                  </w:pPr>
                  <w:r w:rsidRPr="003C18B5">
                    <w:rPr>
                      <w:rFonts w:ascii="Arial" w:hAnsi="Arial" w:cs="Arial"/>
                    </w:rPr>
                    <w:t>IC</w:t>
                  </w:r>
                  <w:r w:rsidRPr="003C18B5">
                    <w:rPr>
                      <w:rFonts w:ascii="Arial" w:hAnsi="Arial" w:cs="Arial"/>
                      <w:vertAlign w:val="subscript"/>
                    </w:rPr>
                    <w:t>50</w:t>
                  </w:r>
                  <w:r w:rsidRPr="003C18B5">
                    <w:rPr>
                      <w:rFonts w:ascii="Arial" w:hAnsi="Arial" w:cs="Arial"/>
                    </w:rPr>
                    <w:t xml:space="preserve"> (</w:t>
                  </w:r>
                  <w:r w:rsidRPr="003C18B5">
                    <w:rPr>
                      <w:rFonts w:ascii="Arial" w:hAnsi="Arial" w:cs="Arial"/>
                      <w:i/>
                    </w:rPr>
                    <w:t>Pf</w:t>
                  </w:r>
                  <w:r w:rsidRPr="003C18B5">
                    <w:rPr>
                      <w:rFonts w:ascii="Arial" w:hAnsi="Arial" w:cs="Arial"/>
                    </w:rPr>
                    <w:t>) = 0,051 µM</w:t>
                  </w:r>
                </w:p>
                <w:p w:rsidR="00D80260" w:rsidRPr="000859D5" w:rsidRDefault="00D80260" w:rsidP="00E03BDD">
                  <w:pPr>
                    <w:autoSpaceDE w:val="0"/>
                    <w:autoSpaceDN w:val="0"/>
                    <w:adjustRightInd w:val="0"/>
                    <w:jc w:val="center"/>
                    <w:rPr>
                      <w:rFonts w:ascii="Arial" w:hAnsi="Arial" w:cs="Arial"/>
                    </w:rPr>
                  </w:pPr>
                  <w:r w:rsidRPr="000859D5">
                    <w:rPr>
                      <w:rFonts w:ascii="Arial" w:hAnsi="Arial" w:cs="Arial"/>
                      <w:b/>
                    </w:rPr>
                    <w:t>6</w:t>
                  </w:r>
                </w:p>
              </w:tc>
            </w:tr>
            <w:tr w:rsidR="00D80260" w:rsidRPr="003C18B5" w:rsidTr="00114D33">
              <w:trPr>
                <w:trHeight w:val="975"/>
                <w:jc w:val="center"/>
              </w:trPr>
              <w:tc>
                <w:tcPr>
                  <w:tcW w:w="9195" w:type="dxa"/>
                  <w:gridSpan w:val="2"/>
                </w:tcPr>
                <w:p w:rsidR="00D80260" w:rsidRPr="003C18B5" w:rsidRDefault="00D80260" w:rsidP="00114D33">
                  <w:pPr>
                    <w:autoSpaceDE w:val="0"/>
                    <w:autoSpaceDN w:val="0"/>
                    <w:adjustRightInd w:val="0"/>
                    <w:spacing w:after="240"/>
                    <w:jc w:val="center"/>
                    <w:rPr>
                      <w:rFonts w:ascii="Arial" w:hAnsi="Arial" w:cs="Arial"/>
                    </w:rPr>
                  </w:pPr>
                  <w:r w:rsidRPr="003C18B5">
                    <w:rPr>
                      <w:rFonts w:ascii="Arial" w:hAnsi="Arial" w:cs="Arial"/>
                      <w:b/>
                    </w:rPr>
                    <w:t xml:space="preserve">Figura 2. </w:t>
                  </w:r>
                  <w:r w:rsidRPr="003C18B5">
                    <w:rPr>
                      <w:rFonts w:ascii="Arial" w:hAnsi="Arial" w:cs="Arial"/>
                    </w:rPr>
                    <w:t>Estructuras químicas de semicarbazonas y tiosemicarbazonas con actividad antimalárica.</w:t>
                  </w:r>
                </w:p>
              </w:tc>
            </w:tr>
          </w:tbl>
          <w:p w:rsidR="00AD7627" w:rsidRPr="00C421AC" w:rsidRDefault="00C421AC" w:rsidP="007C05DC">
            <w:pPr>
              <w:autoSpaceDE w:val="0"/>
              <w:autoSpaceDN w:val="0"/>
              <w:adjustRightInd w:val="0"/>
              <w:spacing w:after="120"/>
              <w:ind w:firstLine="573"/>
              <w:rPr>
                <w:rFonts w:ascii="Arial" w:hAnsi="Arial" w:cs="Arial"/>
              </w:rPr>
            </w:pPr>
            <w:r w:rsidRPr="003C18B5">
              <w:rPr>
                <w:rFonts w:ascii="Arial" w:hAnsi="Arial" w:cs="Arial"/>
              </w:rPr>
              <w:t>Considerando los antecedentes previos, el presente trabajo plantea el diseño de nuevas moléculas por replicación moduladora de unidades estructurales biológicamente activas, a fin de</w:t>
            </w:r>
            <w:r w:rsidR="00811A62">
              <w:rPr>
                <w:rFonts w:ascii="Arial" w:hAnsi="Arial" w:cs="Arial"/>
              </w:rPr>
              <w:t>,</w:t>
            </w:r>
            <w:r w:rsidRPr="003C18B5">
              <w:rPr>
                <w:rFonts w:ascii="Arial" w:hAnsi="Arial" w:cs="Arial"/>
              </w:rPr>
              <w:t xml:space="preserve"> </w:t>
            </w:r>
            <w:r w:rsidR="00811A62" w:rsidRPr="003C18B5">
              <w:rPr>
                <w:rFonts w:ascii="Arial" w:hAnsi="Arial" w:cs="Arial"/>
              </w:rPr>
              <w:t>en investigaciones posteriores</w:t>
            </w:r>
            <w:r w:rsidRPr="003C18B5">
              <w:rPr>
                <w:rFonts w:ascii="Arial" w:hAnsi="Arial" w:cs="Arial"/>
              </w:rPr>
              <w:t>, evaluar sus bioactividades</w:t>
            </w:r>
            <w:r w:rsidR="00CD01AB">
              <w:rPr>
                <w:rFonts w:ascii="Arial" w:hAnsi="Arial" w:cs="Arial"/>
              </w:rPr>
              <w:t xml:space="preserve"> </w:t>
            </w:r>
            <w:r w:rsidR="00CD01AB" w:rsidRPr="00811A62">
              <w:rPr>
                <w:rFonts w:ascii="Arial" w:hAnsi="Arial" w:cs="Arial"/>
                <w:i/>
              </w:rPr>
              <w:t>in vitro</w:t>
            </w:r>
            <w:r w:rsidR="00811A62">
              <w:rPr>
                <w:rFonts w:ascii="Arial" w:hAnsi="Arial" w:cs="Arial"/>
              </w:rPr>
              <w:t xml:space="preserve"> y/o </w:t>
            </w:r>
            <w:r w:rsidR="00811A62" w:rsidRPr="00811A62">
              <w:rPr>
                <w:rFonts w:ascii="Arial" w:hAnsi="Arial" w:cs="Arial"/>
                <w:i/>
              </w:rPr>
              <w:t>in vivo</w:t>
            </w:r>
            <w:r w:rsidRPr="003C18B5">
              <w:rPr>
                <w:rFonts w:ascii="Arial" w:hAnsi="Arial" w:cs="Arial"/>
              </w:rPr>
              <w:t>. En este sentido, se propone la síntesis de derivados tio(semicarbazonas)</w:t>
            </w:r>
            <w:r>
              <w:rPr>
                <w:rFonts w:ascii="Arial" w:hAnsi="Arial" w:cs="Arial"/>
              </w:rPr>
              <w:t xml:space="preserve"> y </w:t>
            </w:r>
            <w:r w:rsidRPr="003C18B5">
              <w:rPr>
                <w:rFonts w:ascii="Arial" w:hAnsi="Arial" w:cs="Arial"/>
              </w:rPr>
              <w:t>carboximidamidas que contienen el farmacóforo 7-cloro-4-aminoquinolina, los cuales se evaluarán</w:t>
            </w:r>
            <w:r w:rsidR="00811A62">
              <w:rPr>
                <w:rFonts w:ascii="Arial" w:hAnsi="Arial" w:cs="Arial"/>
              </w:rPr>
              <w:t xml:space="preserve"> </w:t>
            </w:r>
            <w:r w:rsidRPr="003C18B5">
              <w:rPr>
                <w:rFonts w:ascii="Arial" w:hAnsi="Arial" w:cs="Arial"/>
              </w:rPr>
              <w:t xml:space="preserve">biológicamente </w:t>
            </w:r>
            <w:r w:rsidR="00811A62">
              <w:rPr>
                <w:rFonts w:ascii="Arial" w:hAnsi="Arial" w:cs="Arial"/>
              </w:rPr>
              <w:t>de manera preliminar a través de técnicas computacionales de docking molecular.</w:t>
            </w:r>
          </w:p>
        </w:tc>
      </w:tr>
    </w:tbl>
    <w:p w:rsidR="00181D9B" w:rsidRPr="003C18B5" w:rsidRDefault="00181D9B" w:rsidP="00F635FC">
      <w:pPr>
        <w:rPr>
          <w:rFonts w:ascii="Arial" w:hAnsi="Arial" w:cs="Arial"/>
          <w:b/>
        </w:rPr>
      </w:pPr>
    </w:p>
    <w:tbl>
      <w:tblPr>
        <w:tblStyle w:val="Tablaconcuadrcula"/>
        <w:tblW w:w="9398" w:type="dxa"/>
        <w:tblInd w:w="-5" w:type="dxa"/>
        <w:tblLayout w:type="fixed"/>
        <w:tblLook w:val="04A0"/>
      </w:tblPr>
      <w:tblGrid>
        <w:gridCol w:w="9398"/>
      </w:tblGrid>
      <w:tr w:rsidR="004B6DDD" w:rsidRPr="003C18B5" w:rsidTr="005742D4">
        <w:trPr>
          <w:trHeight w:val="261"/>
        </w:trPr>
        <w:tc>
          <w:tcPr>
            <w:tcW w:w="9398" w:type="dxa"/>
            <w:shd w:val="clear" w:color="auto" w:fill="D9D9D9" w:themeFill="background1" w:themeFillShade="D9"/>
            <w:vAlign w:val="bottom"/>
          </w:tcPr>
          <w:p w:rsidR="004B6DDD" w:rsidRPr="003C18B5" w:rsidRDefault="004B6DDD" w:rsidP="005742D4">
            <w:pPr>
              <w:spacing w:after="0"/>
              <w:rPr>
                <w:rFonts w:ascii="Arial" w:hAnsi="Arial" w:cs="Arial"/>
                <w:b/>
              </w:rPr>
            </w:pPr>
            <w:r w:rsidRPr="003C18B5">
              <w:rPr>
                <w:rFonts w:ascii="Arial" w:hAnsi="Arial" w:cs="Arial"/>
                <w:b/>
              </w:rPr>
              <w:t>5.-PREGUNTA DIRECTRIZ DEL PROYECTO</w:t>
            </w:r>
          </w:p>
          <w:p w:rsidR="004B6DDD" w:rsidRPr="003C18B5" w:rsidRDefault="004B6DDD" w:rsidP="004B6DDD">
            <w:pPr>
              <w:spacing w:after="0"/>
              <w:rPr>
                <w:rFonts w:ascii="Arial" w:hAnsi="Arial" w:cs="Arial"/>
                <w:i/>
              </w:rPr>
            </w:pPr>
            <w:r w:rsidRPr="003C18B5">
              <w:rPr>
                <w:rFonts w:ascii="Arial" w:hAnsi="Arial" w:cs="Arial"/>
                <w:i/>
              </w:rPr>
              <w:t>Una sola pregunta, viene del marco teórico.</w:t>
            </w:r>
          </w:p>
        </w:tc>
      </w:tr>
      <w:tr w:rsidR="004B6DDD" w:rsidRPr="003C18B5" w:rsidTr="005742D4">
        <w:trPr>
          <w:trHeight w:val="548"/>
        </w:trPr>
        <w:tc>
          <w:tcPr>
            <w:tcW w:w="9398" w:type="dxa"/>
          </w:tcPr>
          <w:p w:rsidR="004B6DDD" w:rsidRPr="003C18B5" w:rsidRDefault="00454C38" w:rsidP="007C05DC">
            <w:pPr>
              <w:spacing w:before="120" w:after="120"/>
              <w:rPr>
                <w:rFonts w:ascii="Arial" w:hAnsi="Arial" w:cs="Arial"/>
              </w:rPr>
            </w:pPr>
            <w:r w:rsidRPr="003C18B5">
              <w:rPr>
                <w:rFonts w:ascii="Arial" w:hAnsi="Arial" w:cs="Arial"/>
              </w:rPr>
              <w:t xml:space="preserve">¿Las </w:t>
            </w:r>
            <w:r w:rsidR="0097789F">
              <w:rPr>
                <w:rFonts w:ascii="Arial" w:hAnsi="Arial" w:cs="Arial"/>
              </w:rPr>
              <w:t>semicarbazonas,</w:t>
            </w:r>
            <w:r w:rsidR="00A15714" w:rsidRPr="003C18B5">
              <w:rPr>
                <w:rFonts w:ascii="Arial" w:hAnsi="Arial" w:cs="Arial"/>
              </w:rPr>
              <w:t xml:space="preserve"> tiosemicarbazonas</w:t>
            </w:r>
            <w:r w:rsidR="0097789F">
              <w:rPr>
                <w:rFonts w:ascii="Arial" w:hAnsi="Arial" w:cs="Arial"/>
              </w:rPr>
              <w:t xml:space="preserve"> y </w:t>
            </w:r>
            <w:r w:rsidR="0097789F" w:rsidRPr="003C18B5">
              <w:rPr>
                <w:rFonts w:ascii="Arial" w:hAnsi="Arial" w:cs="Arial"/>
              </w:rPr>
              <w:t>carboximidamidas</w:t>
            </w:r>
            <w:r w:rsidR="00A15714" w:rsidRPr="003C18B5">
              <w:rPr>
                <w:rFonts w:ascii="Arial" w:hAnsi="Arial" w:cs="Arial"/>
              </w:rPr>
              <w:t xml:space="preserve"> de o</w:t>
            </w:r>
            <w:r w:rsidRPr="003C18B5">
              <w:rPr>
                <w:rFonts w:ascii="Arial" w:hAnsi="Arial" w:cs="Arial"/>
              </w:rPr>
              <w:t xml:space="preserve">rigen quinolínico, presentarán </w:t>
            </w:r>
            <w:r w:rsidR="00A15714" w:rsidRPr="003C18B5">
              <w:rPr>
                <w:rFonts w:ascii="Arial" w:hAnsi="Arial" w:cs="Arial"/>
              </w:rPr>
              <w:t>potencial bioactividad?</w:t>
            </w:r>
          </w:p>
        </w:tc>
      </w:tr>
    </w:tbl>
    <w:p w:rsidR="00D375F5" w:rsidRDefault="00D375F5" w:rsidP="00F635FC">
      <w:pPr>
        <w:rPr>
          <w:rFonts w:ascii="Arial" w:hAnsi="Arial" w:cs="Arial"/>
          <w:b/>
        </w:rPr>
      </w:pPr>
    </w:p>
    <w:p w:rsidR="00B607E5" w:rsidRDefault="00B607E5" w:rsidP="00F635FC">
      <w:pPr>
        <w:rPr>
          <w:rFonts w:ascii="Arial" w:hAnsi="Arial" w:cs="Arial"/>
          <w:b/>
        </w:rPr>
      </w:pPr>
    </w:p>
    <w:p w:rsidR="007C05DC" w:rsidRPr="003C18B5" w:rsidRDefault="007C05DC" w:rsidP="00F635FC">
      <w:pPr>
        <w:rPr>
          <w:rFonts w:ascii="Arial" w:hAnsi="Arial" w:cs="Arial"/>
          <w:b/>
        </w:rPr>
      </w:pPr>
    </w:p>
    <w:tbl>
      <w:tblPr>
        <w:tblStyle w:val="Tablaconcuadrcula"/>
        <w:tblW w:w="9398" w:type="dxa"/>
        <w:tblInd w:w="-5" w:type="dxa"/>
        <w:tblLayout w:type="fixed"/>
        <w:tblLook w:val="04A0"/>
      </w:tblPr>
      <w:tblGrid>
        <w:gridCol w:w="9398"/>
      </w:tblGrid>
      <w:tr w:rsidR="004B6DDD" w:rsidRPr="003C18B5" w:rsidTr="005742D4">
        <w:trPr>
          <w:trHeight w:val="261"/>
        </w:trPr>
        <w:tc>
          <w:tcPr>
            <w:tcW w:w="9398" w:type="dxa"/>
            <w:shd w:val="clear" w:color="auto" w:fill="D9D9D9" w:themeFill="background1" w:themeFillShade="D9"/>
            <w:vAlign w:val="bottom"/>
          </w:tcPr>
          <w:p w:rsidR="00AD32A9" w:rsidRPr="003C18B5" w:rsidRDefault="004B6DDD" w:rsidP="005742D4">
            <w:pPr>
              <w:spacing w:after="0"/>
              <w:rPr>
                <w:rFonts w:ascii="Arial" w:hAnsi="Arial" w:cs="Arial"/>
                <w:b/>
              </w:rPr>
            </w:pPr>
            <w:r w:rsidRPr="003C18B5">
              <w:rPr>
                <w:rFonts w:ascii="Arial" w:hAnsi="Arial" w:cs="Arial"/>
                <w:b/>
              </w:rPr>
              <w:lastRenderedPageBreak/>
              <w:t xml:space="preserve">6.-JUSTIFICACIÓN DE LA INVESTIGACIÓN </w:t>
            </w:r>
          </w:p>
          <w:p w:rsidR="004B6DDD" w:rsidRPr="003C18B5" w:rsidRDefault="00AD32A9" w:rsidP="00AD32A9">
            <w:pPr>
              <w:spacing w:after="0"/>
              <w:rPr>
                <w:rFonts w:ascii="Arial" w:hAnsi="Arial" w:cs="Arial"/>
                <w:b/>
              </w:rPr>
            </w:pPr>
            <w:r w:rsidRPr="003C18B5">
              <w:rPr>
                <w:rFonts w:ascii="Arial" w:hAnsi="Arial" w:cs="Arial"/>
                <w:i/>
              </w:rPr>
              <w:t>Describe los elementos clave en los que se basa la</w:t>
            </w:r>
            <w:r w:rsidR="00013B83" w:rsidRPr="003C18B5">
              <w:rPr>
                <w:rFonts w:ascii="Arial" w:hAnsi="Arial" w:cs="Arial"/>
                <w:i/>
              </w:rPr>
              <w:t xml:space="preserve"> propuesta de </w:t>
            </w:r>
            <w:r w:rsidRPr="003C18B5">
              <w:rPr>
                <w:rFonts w:ascii="Arial" w:hAnsi="Arial" w:cs="Arial"/>
                <w:i/>
              </w:rPr>
              <w:t xml:space="preserve"> investigación</w:t>
            </w:r>
          </w:p>
        </w:tc>
      </w:tr>
      <w:tr w:rsidR="004B6DDD" w:rsidRPr="003C18B5" w:rsidTr="005742D4">
        <w:trPr>
          <w:trHeight w:val="548"/>
        </w:trPr>
        <w:tc>
          <w:tcPr>
            <w:tcW w:w="9398" w:type="dxa"/>
          </w:tcPr>
          <w:p w:rsidR="00CD5D33" w:rsidRPr="003C18B5" w:rsidRDefault="00A86BD6" w:rsidP="007849F5">
            <w:pPr>
              <w:spacing w:before="240" w:after="240"/>
              <w:ind w:firstLine="567"/>
              <w:rPr>
                <w:rFonts w:ascii="Arial" w:hAnsi="Arial" w:cs="Arial"/>
                <w:lang w:eastAsia="es-VE"/>
              </w:rPr>
            </w:pPr>
            <w:r w:rsidRPr="003C18B5">
              <w:rPr>
                <w:rFonts w:ascii="Arial" w:hAnsi="Arial" w:cs="Arial"/>
                <w:lang w:eastAsia="es-VE"/>
              </w:rPr>
              <w:t xml:space="preserve">La malaria humana o paludismo representa una de las enfermedades infecciosas de mayor impacto a nivel mundial, propia de las regiones tropicales. Venezuela no escapa del riesgo de transmisión de esta enfermedad. En el año 2016, hasta la semana epidemiológica Nº 34 (20 al 26 de agosto), se reportaron más de 500 casos distribuidos </w:t>
            </w:r>
            <w:r w:rsidRPr="003C18B5">
              <w:rPr>
                <w:rFonts w:ascii="Arial" w:hAnsi="Arial" w:cs="Arial"/>
              </w:rPr>
              <w:t xml:space="preserve">principalmente en las provincias de Morona Santiago, Pastaza, Orellana, Esmeraldas y Sucumbíos. Esta cifra </w:t>
            </w:r>
            <w:r w:rsidRPr="003C18B5">
              <w:rPr>
                <w:rFonts w:ascii="Arial" w:hAnsi="Arial" w:cs="Arial"/>
                <w:lang w:eastAsia="es-VE"/>
              </w:rPr>
              <w:t>representó un aumento respecto al período homólogo del año anterior (2015) y que ha llevado a atribuir a nivel nacional la situación de alarma por altos índices de transmisión malárica.</w:t>
            </w:r>
          </w:p>
          <w:p w:rsidR="00563FF7" w:rsidRPr="003C18B5" w:rsidRDefault="00CD5D33" w:rsidP="007849F5">
            <w:pPr>
              <w:spacing w:before="240" w:after="240"/>
              <w:ind w:firstLine="567"/>
              <w:rPr>
                <w:rFonts w:ascii="Arial" w:hAnsi="Arial" w:cs="Arial"/>
                <w:lang w:eastAsia="es-VE"/>
              </w:rPr>
            </w:pPr>
            <w:r w:rsidRPr="003C18B5">
              <w:rPr>
                <w:rFonts w:ascii="Arial" w:hAnsi="Arial" w:cs="Arial"/>
                <w:lang w:eastAsia="es-VE"/>
              </w:rPr>
              <w:t>No obstante, esta cifra permanece por debajo de las proyecciones anuales. Dado que la amenaza del fenómeno El Niño, que no llegó a golpear con fuerza a Ecuador, hacía prever en torno a un millar de casos de malaria en 2016 en el país.</w:t>
            </w:r>
            <w:r w:rsidR="00563FF7" w:rsidRPr="003C18B5">
              <w:rPr>
                <w:rFonts w:ascii="Arial" w:hAnsi="Arial" w:cs="Arial"/>
                <w:lang w:eastAsia="es-VE"/>
              </w:rPr>
              <w:t xml:space="preserve"> </w:t>
            </w:r>
          </w:p>
          <w:p w:rsidR="004B6DDD" w:rsidRPr="003C18B5" w:rsidRDefault="001A2AD9" w:rsidP="007849F5">
            <w:pPr>
              <w:spacing w:before="240" w:after="240"/>
              <w:ind w:firstLine="567"/>
              <w:rPr>
                <w:rFonts w:ascii="Arial" w:hAnsi="Arial" w:cs="Arial"/>
                <w:lang w:eastAsia="es-VE"/>
              </w:rPr>
            </w:pPr>
            <w:r w:rsidRPr="003C18B5">
              <w:rPr>
                <w:rFonts w:ascii="Arial" w:hAnsi="Arial" w:cs="Arial"/>
                <w:lang w:eastAsia="es-VE"/>
              </w:rPr>
              <w:t>Ante el pronóstico de situaciones epidemiológicas alarmantes debidas a fenómenos naturales, es imperativo</w:t>
            </w:r>
            <w:r w:rsidR="00A86BD6" w:rsidRPr="003C18B5">
              <w:rPr>
                <w:rFonts w:ascii="Arial" w:hAnsi="Arial" w:cs="Arial"/>
                <w:lang w:eastAsia="es-VE"/>
              </w:rPr>
              <w:t xml:space="preserve"> observa</w:t>
            </w:r>
            <w:r w:rsidRPr="003C18B5">
              <w:rPr>
                <w:rFonts w:ascii="Arial" w:hAnsi="Arial" w:cs="Arial"/>
                <w:lang w:eastAsia="es-VE"/>
              </w:rPr>
              <w:t>r</w:t>
            </w:r>
            <w:r w:rsidR="00A86BD6" w:rsidRPr="003C18B5">
              <w:rPr>
                <w:rFonts w:ascii="Arial" w:hAnsi="Arial" w:cs="Arial"/>
                <w:lang w:eastAsia="es-VE"/>
              </w:rPr>
              <w:t xml:space="preserve"> también que la propagación de la resistencia a múltiples drogas desarrollada por el parásito causante de la malaria es la principal dificultad que existe en la lucha contra esta enfermedad. Al no vislumbrarse a corto plazo el descubrimiento de una vacuna efectiva contra la malaria, la quimioterapia continúa representando la principal herramienta para su control y tratamiento siendo imperativo el desarrollo de nuevas estrategias terapéuticas. Por tal motivo, el estudio de análogos de cloroquina, planteando modificaciones parciales en su estructura base para el desarrollo de una quimioterapia antimalárica efectiva, representa una forma de abordar esta problemática.</w:t>
            </w:r>
          </w:p>
        </w:tc>
      </w:tr>
    </w:tbl>
    <w:p w:rsidR="00FD0462" w:rsidRPr="003C18B5" w:rsidRDefault="00FD0462" w:rsidP="00F635FC">
      <w:pPr>
        <w:rPr>
          <w:rFonts w:ascii="Arial" w:hAnsi="Arial" w:cs="Arial"/>
          <w:b/>
        </w:rPr>
      </w:pPr>
    </w:p>
    <w:tbl>
      <w:tblPr>
        <w:tblStyle w:val="Tablaconcuadrcula"/>
        <w:tblW w:w="9398" w:type="dxa"/>
        <w:tblInd w:w="-5" w:type="dxa"/>
        <w:tblLayout w:type="fixed"/>
        <w:tblLook w:val="04A0"/>
      </w:tblPr>
      <w:tblGrid>
        <w:gridCol w:w="9398"/>
      </w:tblGrid>
      <w:tr w:rsidR="004B6DDD" w:rsidRPr="003C18B5" w:rsidTr="005742D4">
        <w:trPr>
          <w:trHeight w:val="261"/>
        </w:trPr>
        <w:tc>
          <w:tcPr>
            <w:tcW w:w="9398" w:type="dxa"/>
            <w:shd w:val="clear" w:color="auto" w:fill="D9D9D9" w:themeFill="background1" w:themeFillShade="D9"/>
            <w:vAlign w:val="bottom"/>
          </w:tcPr>
          <w:p w:rsidR="004B6DDD" w:rsidRPr="003C18B5" w:rsidRDefault="004B6DDD" w:rsidP="004B6DDD">
            <w:pPr>
              <w:spacing w:after="0"/>
              <w:rPr>
                <w:rFonts w:ascii="Arial" w:hAnsi="Arial" w:cs="Arial"/>
                <w:b/>
              </w:rPr>
            </w:pPr>
            <w:r w:rsidRPr="003C18B5">
              <w:rPr>
                <w:rFonts w:ascii="Arial" w:hAnsi="Arial" w:cs="Arial"/>
                <w:b/>
              </w:rPr>
              <w:t xml:space="preserve">7.-HIPÓTESIS PRINCIPAL </w:t>
            </w:r>
          </w:p>
          <w:p w:rsidR="004B6DDD" w:rsidRPr="003C18B5" w:rsidRDefault="004B6DDD" w:rsidP="00013B83">
            <w:pPr>
              <w:spacing w:after="0"/>
              <w:rPr>
                <w:rFonts w:ascii="Arial" w:hAnsi="Arial" w:cs="Arial"/>
                <w:i/>
              </w:rPr>
            </w:pPr>
            <w:r w:rsidRPr="003C18B5">
              <w:rPr>
                <w:rFonts w:ascii="Arial" w:hAnsi="Arial" w:cs="Arial"/>
                <w:i/>
              </w:rPr>
              <w:t xml:space="preserve">Es la respuesta que el </w:t>
            </w:r>
            <w:r w:rsidR="00A512ED" w:rsidRPr="003C18B5">
              <w:rPr>
                <w:rFonts w:ascii="Arial" w:hAnsi="Arial" w:cs="Arial"/>
                <w:i/>
              </w:rPr>
              <w:t xml:space="preserve">investigador da a la pregunta </w:t>
            </w:r>
            <w:r w:rsidR="00013B83" w:rsidRPr="003C18B5">
              <w:rPr>
                <w:rFonts w:ascii="Arial" w:hAnsi="Arial" w:cs="Arial"/>
                <w:i/>
              </w:rPr>
              <w:t>(mandatorio en diseños experimentales</w:t>
            </w:r>
            <w:r w:rsidR="006A070C" w:rsidRPr="003C18B5">
              <w:rPr>
                <w:rFonts w:ascii="Arial" w:hAnsi="Arial" w:cs="Arial"/>
                <w:i/>
              </w:rPr>
              <w:t xml:space="preserve">, y en diseños observacionales </w:t>
            </w:r>
            <w:r w:rsidR="00013B83" w:rsidRPr="003C18B5">
              <w:rPr>
                <w:rFonts w:ascii="Arial" w:hAnsi="Arial" w:cs="Arial"/>
                <w:i/>
              </w:rPr>
              <w:t>correlacionales o que investiguen causa-efecto</w:t>
            </w:r>
            <w:r w:rsidRPr="003C18B5">
              <w:rPr>
                <w:rFonts w:ascii="Arial" w:hAnsi="Arial" w:cs="Arial"/>
                <w:i/>
              </w:rPr>
              <w:t>)</w:t>
            </w:r>
          </w:p>
        </w:tc>
      </w:tr>
      <w:tr w:rsidR="004B6DDD" w:rsidRPr="003C18B5" w:rsidTr="005742D4">
        <w:trPr>
          <w:trHeight w:val="548"/>
        </w:trPr>
        <w:tc>
          <w:tcPr>
            <w:tcW w:w="9398" w:type="dxa"/>
          </w:tcPr>
          <w:p w:rsidR="004B6DDD" w:rsidRPr="003C18B5" w:rsidRDefault="004B6DDD" w:rsidP="005742D4">
            <w:pPr>
              <w:spacing w:after="0"/>
              <w:rPr>
                <w:rFonts w:ascii="Arial" w:hAnsi="Arial" w:cs="Arial"/>
              </w:rPr>
            </w:pPr>
          </w:p>
          <w:p w:rsidR="004B6DDD" w:rsidRPr="003C18B5" w:rsidRDefault="00C16B96" w:rsidP="005742D4">
            <w:pPr>
              <w:spacing w:after="0"/>
              <w:rPr>
                <w:rFonts w:ascii="Arial" w:hAnsi="Arial" w:cs="Arial"/>
              </w:rPr>
            </w:pPr>
            <w:r>
              <w:rPr>
                <w:rFonts w:ascii="Arial" w:hAnsi="Arial" w:cs="Arial"/>
              </w:rPr>
              <w:t>Las semicarbazonas,</w:t>
            </w:r>
            <w:r w:rsidR="00B14519" w:rsidRPr="003C18B5">
              <w:rPr>
                <w:rFonts w:ascii="Arial" w:hAnsi="Arial" w:cs="Arial"/>
              </w:rPr>
              <w:t xml:space="preserve"> tiosemicarbazonas</w:t>
            </w:r>
            <w:r>
              <w:rPr>
                <w:rFonts w:ascii="Arial" w:hAnsi="Arial" w:cs="Arial"/>
              </w:rPr>
              <w:t xml:space="preserve"> y </w:t>
            </w:r>
            <w:r w:rsidRPr="003C18B5">
              <w:rPr>
                <w:rFonts w:ascii="Arial" w:hAnsi="Arial" w:cs="Arial"/>
              </w:rPr>
              <w:t>carboximidamidas</w:t>
            </w:r>
            <w:r w:rsidR="00B14519" w:rsidRPr="003C18B5">
              <w:rPr>
                <w:rFonts w:ascii="Arial" w:hAnsi="Arial" w:cs="Arial"/>
              </w:rPr>
              <w:t xml:space="preserve"> derivadas de (7-cloroquinolin-4-il)aminoacetofenonas poseen </w:t>
            </w:r>
            <w:r w:rsidR="0056329D">
              <w:rPr>
                <w:rFonts w:ascii="Arial" w:hAnsi="Arial" w:cs="Arial"/>
              </w:rPr>
              <w:t xml:space="preserve">potenciales </w:t>
            </w:r>
            <w:r w:rsidR="00B14519" w:rsidRPr="003C18B5">
              <w:rPr>
                <w:rFonts w:ascii="Arial" w:hAnsi="Arial" w:cs="Arial"/>
              </w:rPr>
              <w:t>propiedades bioactivas (principalmente antimaláricas)</w:t>
            </w:r>
            <w:r w:rsidR="00AA08CB" w:rsidRPr="003C18B5">
              <w:rPr>
                <w:rFonts w:ascii="Arial" w:hAnsi="Arial" w:cs="Arial"/>
              </w:rPr>
              <w:t>.</w:t>
            </w:r>
          </w:p>
          <w:p w:rsidR="004B6DDD" w:rsidRPr="003C18B5" w:rsidRDefault="004B6DDD" w:rsidP="005742D4">
            <w:pPr>
              <w:spacing w:after="0"/>
              <w:rPr>
                <w:rFonts w:ascii="Arial" w:hAnsi="Arial" w:cs="Arial"/>
              </w:rPr>
            </w:pPr>
          </w:p>
        </w:tc>
      </w:tr>
    </w:tbl>
    <w:p w:rsidR="002048FF" w:rsidRPr="003C18B5" w:rsidRDefault="002048FF" w:rsidP="00F635FC">
      <w:pPr>
        <w:rPr>
          <w:rFonts w:ascii="Arial" w:hAnsi="Arial" w:cs="Arial"/>
          <w:b/>
        </w:rPr>
      </w:pPr>
    </w:p>
    <w:tbl>
      <w:tblPr>
        <w:tblStyle w:val="Tablaconcuadrcula"/>
        <w:tblW w:w="0" w:type="auto"/>
        <w:tblLook w:val="04A0"/>
      </w:tblPr>
      <w:tblGrid>
        <w:gridCol w:w="9394"/>
      </w:tblGrid>
      <w:tr w:rsidR="004B6DDD" w:rsidRPr="003C18B5" w:rsidTr="005742D4">
        <w:tc>
          <w:tcPr>
            <w:tcW w:w="9394" w:type="dxa"/>
            <w:shd w:val="clear" w:color="auto" w:fill="D9D9D9" w:themeFill="background1" w:themeFillShade="D9"/>
          </w:tcPr>
          <w:p w:rsidR="00D375F5" w:rsidRPr="003C18B5" w:rsidRDefault="000D0F9A" w:rsidP="005742D4">
            <w:pPr>
              <w:spacing w:after="0"/>
              <w:rPr>
                <w:rFonts w:ascii="Arial" w:hAnsi="Arial" w:cs="Arial"/>
              </w:rPr>
            </w:pPr>
            <w:r w:rsidRPr="003C18B5">
              <w:rPr>
                <w:rFonts w:ascii="Arial" w:hAnsi="Arial" w:cs="Arial"/>
                <w:b/>
              </w:rPr>
              <w:t>8</w:t>
            </w:r>
            <w:r w:rsidR="00D375F5" w:rsidRPr="003C18B5">
              <w:rPr>
                <w:rFonts w:ascii="Arial" w:hAnsi="Arial" w:cs="Arial"/>
                <w:b/>
              </w:rPr>
              <w:t>.- OBJETIVO GENERAL</w:t>
            </w:r>
          </w:p>
          <w:p w:rsidR="004B6DDD" w:rsidRPr="003C18B5" w:rsidRDefault="004B6DDD" w:rsidP="00013B83">
            <w:pPr>
              <w:spacing w:after="0"/>
              <w:rPr>
                <w:rFonts w:ascii="Arial" w:hAnsi="Arial" w:cs="Arial"/>
              </w:rPr>
            </w:pPr>
            <w:r w:rsidRPr="003C18B5">
              <w:rPr>
                <w:rFonts w:ascii="Arial" w:hAnsi="Arial" w:cs="Arial"/>
                <w:i/>
                <w:color w:val="000000"/>
                <w:lang w:eastAsia="es-ES"/>
              </w:rPr>
              <w:t xml:space="preserve">Identifica la finalidad de la investigación. El objetivo responde a las preguntas "qué" y "para qué". Es el conjunto de resultados que el proyecto de investigación se propone alcanzar a través </w:t>
            </w:r>
            <w:r w:rsidR="00013B83" w:rsidRPr="003C18B5">
              <w:rPr>
                <w:rFonts w:ascii="Arial" w:hAnsi="Arial" w:cs="Arial"/>
                <w:i/>
                <w:color w:val="000000"/>
                <w:lang w:eastAsia="es-ES"/>
              </w:rPr>
              <w:t>de las</w:t>
            </w:r>
            <w:r w:rsidRPr="003C18B5">
              <w:rPr>
                <w:rFonts w:ascii="Arial" w:hAnsi="Arial" w:cs="Arial"/>
                <w:i/>
                <w:color w:val="000000"/>
                <w:lang w:eastAsia="es-ES"/>
              </w:rPr>
              <w:t xml:space="preserve"> actividades planificadas.</w:t>
            </w:r>
          </w:p>
        </w:tc>
      </w:tr>
      <w:tr w:rsidR="004B6DDD" w:rsidRPr="003C18B5" w:rsidTr="005742D4">
        <w:tc>
          <w:tcPr>
            <w:tcW w:w="9394" w:type="dxa"/>
          </w:tcPr>
          <w:p w:rsidR="004B6DDD" w:rsidRPr="003C18B5" w:rsidRDefault="00D66B06" w:rsidP="0056329D">
            <w:pPr>
              <w:autoSpaceDE w:val="0"/>
              <w:autoSpaceDN w:val="0"/>
              <w:adjustRightInd w:val="0"/>
              <w:spacing w:before="120" w:after="120"/>
              <w:ind w:firstLine="567"/>
              <w:rPr>
                <w:rFonts w:ascii="Arial" w:hAnsi="Arial" w:cs="Arial"/>
              </w:rPr>
            </w:pPr>
            <w:r w:rsidRPr="003C18B5">
              <w:rPr>
                <w:rFonts w:ascii="Arial" w:hAnsi="Arial" w:cs="Arial"/>
              </w:rPr>
              <w:t>Sintetiz</w:t>
            </w:r>
            <w:r w:rsidR="00F64729" w:rsidRPr="003C18B5">
              <w:rPr>
                <w:rFonts w:ascii="Arial" w:hAnsi="Arial" w:cs="Arial"/>
              </w:rPr>
              <w:t>ar derivados de semicarbazonas,</w:t>
            </w:r>
            <w:r w:rsidRPr="003C18B5">
              <w:rPr>
                <w:rFonts w:ascii="Arial" w:hAnsi="Arial" w:cs="Arial"/>
              </w:rPr>
              <w:t xml:space="preserve"> tiosemicarbazonas </w:t>
            </w:r>
            <w:r w:rsidR="00F64729" w:rsidRPr="003C18B5">
              <w:rPr>
                <w:rFonts w:ascii="Arial" w:hAnsi="Arial" w:cs="Arial"/>
              </w:rPr>
              <w:t xml:space="preserve">y carboximidamidas </w:t>
            </w:r>
            <w:r w:rsidRPr="003C18B5">
              <w:rPr>
                <w:rFonts w:ascii="Arial" w:hAnsi="Arial" w:cs="Arial"/>
              </w:rPr>
              <w:t xml:space="preserve">de origen quinolínico, a fin de crear un nuevo grupo de sustancias orgánicas con </w:t>
            </w:r>
            <w:r w:rsidR="00985A09" w:rsidRPr="003C18B5">
              <w:rPr>
                <w:rFonts w:ascii="Arial" w:hAnsi="Arial" w:cs="Arial"/>
              </w:rPr>
              <w:t xml:space="preserve">potencial </w:t>
            </w:r>
            <w:r w:rsidRPr="003C18B5">
              <w:rPr>
                <w:rFonts w:ascii="Arial" w:hAnsi="Arial" w:cs="Arial"/>
              </w:rPr>
              <w:t>bioactividad (principalmente antimaláricas).</w:t>
            </w:r>
          </w:p>
        </w:tc>
      </w:tr>
    </w:tbl>
    <w:p w:rsidR="004B6DDD" w:rsidRDefault="004B6DDD" w:rsidP="00F635FC">
      <w:pPr>
        <w:rPr>
          <w:rFonts w:ascii="Arial" w:hAnsi="Arial" w:cs="Arial"/>
          <w:b/>
        </w:rPr>
      </w:pPr>
    </w:p>
    <w:p w:rsidR="003C0694" w:rsidRDefault="003C0694" w:rsidP="00F635FC">
      <w:pPr>
        <w:rPr>
          <w:rFonts w:ascii="Arial" w:hAnsi="Arial" w:cs="Arial"/>
          <w:b/>
        </w:rPr>
      </w:pPr>
    </w:p>
    <w:p w:rsidR="003C0694" w:rsidRPr="003C18B5" w:rsidRDefault="003C0694" w:rsidP="00F635FC">
      <w:pPr>
        <w:rPr>
          <w:rFonts w:ascii="Arial" w:hAnsi="Arial" w:cs="Arial"/>
          <w:b/>
        </w:rPr>
      </w:pPr>
    </w:p>
    <w:tbl>
      <w:tblPr>
        <w:tblStyle w:val="Tablaconcuadrcula"/>
        <w:tblW w:w="0" w:type="auto"/>
        <w:tblLook w:val="04A0"/>
      </w:tblPr>
      <w:tblGrid>
        <w:gridCol w:w="9394"/>
      </w:tblGrid>
      <w:tr w:rsidR="004B6DDD" w:rsidRPr="003C18B5" w:rsidTr="005742D4">
        <w:tc>
          <w:tcPr>
            <w:tcW w:w="9394" w:type="dxa"/>
            <w:shd w:val="clear" w:color="auto" w:fill="D9D9D9" w:themeFill="background1" w:themeFillShade="D9"/>
          </w:tcPr>
          <w:p w:rsidR="00D375F5" w:rsidRPr="003C18B5" w:rsidRDefault="000D0F9A" w:rsidP="005742D4">
            <w:pPr>
              <w:spacing w:after="0"/>
              <w:rPr>
                <w:rFonts w:ascii="Arial" w:hAnsi="Arial" w:cs="Arial"/>
              </w:rPr>
            </w:pPr>
            <w:r w:rsidRPr="003C18B5">
              <w:rPr>
                <w:rFonts w:ascii="Arial" w:hAnsi="Arial" w:cs="Arial"/>
                <w:b/>
              </w:rPr>
              <w:lastRenderedPageBreak/>
              <w:t>9</w:t>
            </w:r>
            <w:r w:rsidR="004B6DDD" w:rsidRPr="003C18B5">
              <w:rPr>
                <w:rFonts w:ascii="Arial" w:hAnsi="Arial" w:cs="Arial"/>
                <w:b/>
              </w:rPr>
              <w:t>.- OBJETIVOS ESPECÍFICOS</w:t>
            </w:r>
          </w:p>
          <w:p w:rsidR="004B6DDD" w:rsidRPr="003C18B5" w:rsidRDefault="004B6DDD" w:rsidP="00AE76C9">
            <w:pPr>
              <w:spacing w:after="0"/>
              <w:rPr>
                <w:rFonts w:ascii="Arial" w:hAnsi="Arial" w:cs="Arial"/>
              </w:rPr>
            </w:pPr>
            <w:r w:rsidRPr="003C18B5">
              <w:rPr>
                <w:rFonts w:ascii="Arial" w:hAnsi="Arial" w:cs="Arial"/>
                <w:i/>
                <w:color w:val="000000"/>
                <w:lang w:eastAsia="es-ES"/>
              </w:rPr>
              <w:t xml:space="preserve">Son los pasos que se han de seguir para la consecución del objetivo general. Deben ser bien delimitados, estar claramente expuestos y ser coherentes con el tema propuesto, ser medibles en términos de logros observables y verificables durante el período de ejecución del proyecto. </w:t>
            </w:r>
            <w:r w:rsidRPr="003C18B5">
              <w:rPr>
                <w:rFonts w:ascii="Arial" w:hAnsi="Arial" w:cs="Arial"/>
                <w:b/>
                <w:i/>
                <w:color w:val="000000"/>
                <w:lang w:eastAsia="es-ES"/>
              </w:rPr>
              <w:t>Máximo hasta cinco objetivos</w:t>
            </w:r>
            <w:r w:rsidRPr="003C18B5">
              <w:rPr>
                <w:rFonts w:ascii="Arial" w:hAnsi="Arial" w:cs="Arial"/>
                <w:i/>
                <w:color w:val="000000"/>
                <w:lang w:eastAsia="es-ES"/>
              </w:rPr>
              <w:t xml:space="preserve">. Deben </w:t>
            </w:r>
            <w:r w:rsidR="00AE76C9" w:rsidRPr="003C18B5">
              <w:rPr>
                <w:rFonts w:ascii="Arial" w:hAnsi="Arial" w:cs="Arial"/>
                <w:i/>
                <w:color w:val="000000"/>
                <w:lang w:eastAsia="es-ES"/>
              </w:rPr>
              <w:t>escribirse en orden cronológico</w:t>
            </w:r>
            <w:r w:rsidR="00124BE5">
              <w:rPr>
                <w:rFonts w:ascii="Arial" w:hAnsi="Arial" w:cs="Arial"/>
                <w:i/>
                <w:color w:val="000000"/>
                <w:lang w:eastAsia="es-ES"/>
              </w:rPr>
              <w:t xml:space="preserve"> </w:t>
            </w:r>
            <w:r w:rsidR="00AE76C9" w:rsidRPr="003C18B5">
              <w:rPr>
                <w:rFonts w:ascii="Arial" w:hAnsi="Arial" w:cs="Arial"/>
                <w:i/>
                <w:color w:val="000000"/>
                <w:lang w:eastAsia="es-ES"/>
              </w:rPr>
              <w:t xml:space="preserve">y </w:t>
            </w:r>
            <w:r w:rsidRPr="003C18B5">
              <w:rPr>
                <w:rFonts w:ascii="Arial" w:hAnsi="Arial" w:cs="Arial"/>
                <w:i/>
                <w:color w:val="000000"/>
                <w:lang w:eastAsia="es-ES"/>
              </w:rPr>
              <w:t>ser alcanzados durante el desarrollo de la investigación</w:t>
            </w:r>
            <w:r w:rsidR="00AD32A9" w:rsidRPr="003C18B5">
              <w:rPr>
                <w:rFonts w:ascii="Arial" w:hAnsi="Arial" w:cs="Arial"/>
                <w:i/>
                <w:color w:val="000000"/>
                <w:lang w:eastAsia="es-ES"/>
              </w:rPr>
              <w:t>.</w:t>
            </w:r>
          </w:p>
        </w:tc>
      </w:tr>
      <w:tr w:rsidR="004B6DDD" w:rsidRPr="003C18B5" w:rsidTr="005742D4">
        <w:tc>
          <w:tcPr>
            <w:tcW w:w="9394" w:type="dxa"/>
          </w:tcPr>
          <w:p w:rsidR="004B6DDD" w:rsidRPr="003C18B5" w:rsidRDefault="00EE1C12" w:rsidP="00D9187C">
            <w:pPr>
              <w:autoSpaceDE w:val="0"/>
              <w:autoSpaceDN w:val="0"/>
              <w:adjustRightInd w:val="0"/>
              <w:spacing w:before="120" w:after="120"/>
              <w:rPr>
                <w:rFonts w:ascii="Arial" w:hAnsi="Arial" w:cs="Arial"/>
                <w:lang w:val="es-VE"/>
              </w:rPr>
            </w:pPr>
            <w:r w:rsidRPr="003C18B5">
              <w:rPr>
                <w:rFonts w:ascii="Arial" w:hAnsi="Arial" w:cs="Arial"/>
              </w:rPr>
              <w:t xml:space="preserve">OE1: </w:t>
            </w:r>
            <w:r w:rsidR="006A2AD2" w:rsidRPr="003C18B5">
              <w:rPr>
                <w:rFonts w:ascii="Arial" w:hAnsi="Arial" w:cs="Arial"/>
                <w:lang w:val="es-VE"/>
              </w:rPr>
              <w:t>Sintetizar</w:t>
            </w:r>
            <w:r w:rsidR="003C3D82" w:rsidRPr="003C18B5">
              <w:rPr>
                <w:rFonts w:ascii="Arial" w:hAnsi="Arial" w:cs="Arial"/>
                <w:lang w:val="es-VE"/>
              </w:rPr>
              <w:t>,</w:t>
            </w:r>
            <w:r w:rsidR="006A2AD2" w:rsidRPr="003C18B5">
              <w:rPr>
                <w:rFonts w:ascii="Arial" w:hAnsi="Arial" w:cs="Arial"/>
                <w:lang w:val="es-VE"/>
              </w:rPr>
              <w:t xml:space="preserve"> </w:t>
            </w:r>
            <w:r w:rsidR="003C3D82" w:rsidRPr="003C18B5">
              <w:rPr>
                <w:rFonts w:ascii="Arial" w:hAnsi="Arial" w:cs="Arial"/>
                <w:lang w:val="es-VE"/>
              </w:rPr>
              <w:t xml:space="preserve">de ser posible a través de métodos de Química Verde, </w:t>
            </w:r>
            <w:r w:rsidR="00D621C2" w:rsidRPr="003C18B5">
              <w:rPr>
                <w:rFonts w:ascii="Arial" w:hAnsi="Arial" w:cs="Arial"/>
                <w:lang w:val="es-VE"/>
              </w:rPr>
              <w:t>derivados de semicarbazonas,</w:t>
            </w:r>
            <w:r w:rsidR="006A2AD2" w:rsidRPr="003C18B5">
              <w:rPr>
                <w:rFonts w:ascii="Arial" w:hAnsi="Arial" w:cs="Arial"/>
                <w:lang w:val="es-VE"/>
              </w:rPr>
              <w:t xml:space="preserve"> tiosemicarbazonas </w:t>
            </w:r>
            <w:r w:rsidR="00D621C2" w:rsidRPr="003C18B5">
              <w:rPr>
                <w:rFonts w:ascii="Arial" w:hAnsi="Arial" w:cs="Arial"/>
                <w:lang w:val="es-VE"/>
              </w:rPr>
              <w:t xml:space="preserve">y </w:t>
            </w:r>
            <w:r w:rsidR="00D621C2" w:rsidRPr="003C18B5">
              <w:rPr>
                <w:rFonts w:ascii="Arial" w:hAnsi="Arial" w:cs="Arial"/>
              </w:rPr>
              <w:t>carboximidamidas</w:t>
            </w:r>
            <w:r w:rsidR="00D621C2" w:rsidRPr="003C18B5">
              <w:rPr>
                <w:rFonts w:ascii="Arial" w:hAnsi="Arial" w:cs="Arial"/>
                <w:lang w:val="es-VE"/>
              </w:rPr>
              <w:t xml:space="preserve"> </w:t>
            </w:r>
            <w:r w:rsidR="006A2AD2" w:rsidRPr="003C18B5">
              <w:rPr>
                <w:rFonts w:ascii="Arial" w:hAnsi="Arial" w:cs="Arial"/>
                <w:lang w:val="es-VE"/>
              </w:rPr>
              <w:t>de origen quinolínicos</w:t>
            </w:r>
            <w:r w:rsidR="002062F6">
              <w:rPr>
                <w:rFonts w:ascii="Arial" w:hAnsi="Arial" w:cs="Arial"/>
                <w:lang w:val="es-VE"/>
              </w:rPr>
              <w:t>;</w:t>
            </w:r>
            <w:r w:rsidR="003C3D82" w:rsidRPr="003C18B5">
              <w:rPr>
                <w:rFonts w:ascii="Arial" w:hAnsi="Arial" w:cs="Arial"/>
                <w:lang w:val="es-VE"/>
              </w:rPr>
              <w:t xml:space="preserve"> </w:t>
            </w:r>
            <w:r w:rsidR="006A2AD2" w:rsidRPr="003C18B5">
              <w:rPr>
                <w:rFonts w:ascii="Arial" w:hAnsi="Arial" w:cs="Arial"/>
                <w:lang w:val="es-VE"/>
              </w:rPr>
              <w:t xml:space="preserve">los cuales serán evaluados </w:t>
            </w:r>
            <w:r w:rsidR="008313C7" w:rsidRPr="003C18B5">
              <w:rPr>
                <w:rFonts w:ascii="Arial" w:hAnsi="Arial" w:cs="Arial"/>
                <w:lang w:val="es-VE"/>
              </w:rPr>
              <w:t xml:space="preserve">biológicamente </w:t>
            </w:r>
            <w:r w:rsidR="002062F6" w:rsidRPr="002062F6">
              <w:rPr>
                <w:rFonts w:ascii="Arial" w:hAnsi="Arial" w:cs="Arial"/>
                <w:i/>
                <w:lang w:val="es-VE"/>
              </w:rPr>
              <w:t>in vitro</w:t>
            </w:r>
            <w:r w:rsidR="002062F6">
              <w:rPr>
                <w:rFonts w:ascii="Arial" w:hAnsi="Arial" w:cs="Arial"/>
                <w:lang w:val="es-VE"/>
              </w:rPr>
              <w:t xml:space="preserve"> y/o </w:t>
            </w:r>
            <w:r w:rsidR="002062F6" w:rsidRPr="002062F6">
              <w:rPr>
                <w:rFonts w:ascii="Arial" w:hAnsi="Arial" w:cs="Arial"/>
                <w:i/>
                <w:lang w:val="es-VE"/>
              </w:rPr>
              <w:t>in vivo</w:t>
            </w:r>
            <w:r w:rsidR="002062F6">
              <w:rPr>
                <w:rFonts w:ascii="Arial" w:hAnsi="Arial" w:cs="Arial"/>
                <w:lang w:val="es-VE"/>
              </w:rPr>
              <w:t xml:space="preserve"> </w:t>
            </w:r>
            <w:r w:rsidR="006A2AD2" w:rsidRPr="003C18B5">
              <w:rPr>
                <w:rFonts w:ascii="Arial" w:hAnsi="Arial" w:cs="Arial"/>
                <w:lang w:val="es-VE"/>
              </w:rPr>
              <w:t>en investigaciones posteriores.</w:t>
            </w:r>
          </w:p>
        </w:tc>
      </w:tr>
      <w:tr w:rsidR="00EE1C12" w:rsidRPr="003C18B5" w:rsidTr="005742D4">
        <w:tc>
          <w:tcPr>
            <w:tcW w:w="9394" w:type="dxa"/>
          </w:tcPr>
          <w:p w:rsidR="00EE1C12" w:rsidRPr="003C18B5" w:rsidRDefault="00EE1C12" w:rsidP="00D9187C">
            <w:pPr>
              <w:autoSpaceDE w:val="0"/>
              <w:autoSpaceDN w:val="0"/>
              <w:adjustRightInd w:val="0"/>
              <w:spacing w:before="120" w:after="120"/>
              <w:rPr>
                <w:rFonts w:ascii="Arial" w:hAnsi="Arial" w:cs="Arial"/>
                <w:lang w:val="es-VE"/>
              </w:rPr>
            </w:pPr>
            <w:r w:rsidRPr="003C18B5">
              <w:rPr>
                <w:rFonts w:ascii="Arial" w:hAnsi="Arial" w:cs="Arial"/>
              </w:rPr>
              <w:t>OE2:</w:t>
            </w:r>
            <w:r w:rsidR="003C3D82" w:rsidRPr="003C18B5">
              <w:rPr>
                <w:rFonts w:ascii="Arial" w:hAnsi="Arial" w:cs="Arial"/>
              </w:rPr>
              <w:t xml:space="preserve"> Purificar</w:t>
            </w:r>
            <w:r w:rsidRPr="003C18B5">
              <w:rPr>
                <w:rFonts w:ascii="Arial" w:hAnsi="Arial" w:cs="Arial"/>
              </w:rPr>
              <w:t xml:space="preserve"> </w:t>
            </w:r>
            <w:r w:rsidR="003C3D82" w:rsidRPr="003C18B5">
              <w:rPr>
                <w:rFonts w:ascii="Arial" w:hAnsi="Arial" w:cs="Arial"/>
                <w:lang w:val="es-VE"/>
              </w:rPr>
              <w:t>los derivados sintetizados</w:t>
            </w:r>
            <w:r w:rsidR="00D621C2" w:rsidRPr="003C18B5">
              <w:rPr>
                <w:rFonts w:ascii="Arial" w:hAnsi="Arial" w:cs="Arial"/>
                <w:lang w:val="es-VE"/>
              </w:rPr>
              <w:t xml:space="preserve"> de semicarbazonas,</w:t>
            </w:r>
            <w:r w:rsidR="003C3D82" w:rsidRPr="003C18B5">
              <w:rPr>
                <w:rFonts w:ascii="Arial" w:hAnsi="Arial" w:cs="Arial"/>
                <w:lang w:val="es-VE"/>
              </w:rPr>
              <w:t xml:space="preserve"> tiosemicarbazonas </w:t>
            </w:r>
            <w:r w:rsidR="00D621C2" w:rsidRPr="003C18B5">
              <w:rPr>
                <w:rFonts w:ascii="Arial" w:hAnsi="Arial" w:cs="Arial"/>
                <w:lang w:val="es-VE"/>
              </w:rPr>
              <w:t xml:space="preserve">y </w:t>
            </w:r>
            <w:r w:rsidR="00D621C2" w:rsidRPr="003C18B5">
              <w:rPr>
                <w:rFonts w:ascii="Arial" w:hAnsi="Arial" w:cs="Arial"/>
              </w:rPr>
              <w:t>carboximidamidas</w:t>
            </w:r>
            <w:r w:rsidR="00D621C2" w:rsidRPr="003C18B5">
              <w:rPr>
                <w:rFonts w:ascii="Arial" w:hAnsi="Arial" w:cs="Arial"/>
                <w:lang w:val="es-VE"/>
              </w:rPr>
              <w:t xml:space="preserve"> </w:t>
            </w:r>
            <w:r w:rsidR="003C3D82" w:rsidRPr="003C18B5">
              <w:rPr>
                <w:rFonts w:ascii="Arial" w:hAnsi="Arial" w:cs="Arial"/>
                <w:lang w:val="es-VE"/>
              </w:rPr>
              <w:t>de origen quinolínicos</w:t>
            </w:r>
            <w:r w:rsidR="00EA08EB" w:rsidRPr="003C18B5">
              <w:rPr>
                <w:rFonts w:ascii="Arial" w:hAnsi="Arial" w:cs="Arial"/>
                <w:lang w:val="es-VE"/>
              </w:rPr>
              <w:t>.</w:t>
            </w:r>
          </w:p>
        </w:tc>
      </w:tr>
      <w:tr w:rsidR="00EE1C12" w:rsidRPr="003C18B5" w:rsidTr="005742D4">
        <w:tc>
          <w:tcPr>
            <w:tcW w:w="9394" w:type="dxa"/>
          </w:tcPr>
          <w:p w:rsidR="00EE1C12" w:rsidRPr="003C18B5" w:rsidRDefault="00EE1C12" w:rsidP="00D9187C">
            <w:pPr>
              <w:spacing w:before="120" w:after="120"/>
              <w:rPr>
                <w:rFonts w:ascii="Arial" w:hAnsi="Arial" w:cs="Arial"/>
              </w:rPr>
            </w:pPr>
            <w:r w:rsidRPr="003C18B5">
              <w:rPr>
                <w:rFonts w:ascii="Arial" w:hAnsi="Arial" w:cs="Arial"/>
              </w:rPr>
              <w:t>OE3:</w:t>
            </w:r>
            <w:r w:rsidR="00D9187C">
              <w:rPr>
                <w:rFonts w:ascii="Arial" w:hAnsi="Arial" w:cs="Arial"/>
              </w:rPr>
              <w:t xml:space="preserve"> </w:t>
            </w:r>
            <w:r w:rsidR="003C3D82" w:rsidRPr="003C18B5">
              <w:rPr>
                <w:rFonts w:ascii="Arial" w:hAnsi="Arial" w:cs="Arial"/>
                <w:lang w:val="es-VE"/>
              </w:rPr>
              <w:t>Caracterizar espectroscópicamente l</w:t>
            </w:r>
            <w:r w:rsidR="00D621C2" w:rsidRPr="003C18B5">
              <w:rPr>
                <w:rFonts w:ascii="Arial" w:hAnsi="Arial" w:cs="Arial"/>
                <w:lang w:val="es-VE"/>
              </w:rPr>
              <w:t>os derivados de semicarbazonas,</w:t>
            </w:r>
            <w:r w:rsidR="003C3D82" w:rsidRPr="003C18B5">
              <w:rPr>
                <w:rFonts w:ascii="Arial" w:hAnsi="Arial" w:cs="Arial"/>
                <w:lang w:val="es-VE"/>
              </w:rPr>
              <w:t xml:space="preserve"> tiosemicarbazonas</w:t>
            </w:r>
            <w:r w:rsidR="00D621C2" w:rsidRPr="003C18B5">
              <w:rPr>
                <w:rFonts w:ascii="Arial" w:hAnsi="Arial" w:cs="Arial"/>
                <w:lang w:val="es-VE"/>
              </w:rPr>
              <w:t xml:space="preserve"> y </w:t>
            </w:r>
            <w:r w:rsidR="00D621C2" w:rsidRPr="003C18B5">
              <w:rPr>
                <w:rFonts w:ascii="Arial" w:hAnsi="Arial" w:cs="Arial"/>
              </w:rPr>
              <w:t>carboximidamidas</w:t>
            </w:r>
            <w:r w:rsidR="003C3D82" w:rsidRPr="003C18B5">
              <w:rPr>
                <w:rFonts w:ascii="Arial" w:hAnsi="Arial" w:cs="Arial"/>
                <w:lang w:val="es-VE"/>
              </w:rPr>
              <w:t xml:space="preserve"> de origen quinolíni</w:t>
            </w:r>
            <w:r w:rsidR="00952907">
              <w:rPr>
                <w:rFonts w:ascii="Arial" w:hAnsi="Arial" w:cs="Arial"/>
                <w:lang w:val="es-VE"/>
              </w:rPr>
              <w:t>cos,</w:t>
            </w:r>
            <w:r w:rsidR="003C3D82" w:rsidRPr="003C18B5">
              <w:rPr>
                <w:rFonts w:ascii="Arial" w:hAnsi="Arial" w:cs="Arial"/>
                <w:lang w:val="es-VE"/>
              </w:rPr>
              <w:t xml:space="preserve"> a través de técnicas como IR, UV-Vis, </w:t>
            </w:r>
            <w:r w:rsidR="003C3D82" w:rsidRPr="003C18B5">
              <w:rPr>
                <w:rFonts w:ascii="Arial" w:hAnsi="Arial" w:cs="Arial"/>
                <w:lang w:val="es-ES_tradnl"/>
              </w:rPr>
              <w:t xml:space="preserve">RMN </w:t>
            </w:r>
            <w:r w:rsidR="003C3D82" w:rsidRPr="003C18B5">
              <w:rPr>
                <w:rFonts w:ascii="Arial" w:hAnsi="Arial" w:cs="Arial"/>
                <w:vertAlign w:val="superscript"/>
                <w:lang w:val="es-ES_tradnl"/>
              </w:rPr>
              <w:t>1</w:t>
            </w:r>
            <w:r w:rsidR="003C3D82" w:rsidRPr="003C18B5">
              <w:rPr>
                <w:rFonts w:ascii="Arial" w:hAnsi="Arial" w:cs="Arial"/>
                <w:lang w:val="es-ES_tradnl"/>
              </w:rPr>
              <w:t xml:space="preserve">H, RMN </w:t>
            </w:r>
            <w:r w:rsidR="003C3D82" w:rsidRPr="003C18B5">
              <w:rPr>
                <w:rFonts w:ascii="Arial" w:hAnsi="Arial" w:cs="Arial"/>
                <w:vertAlign w:val="superscript"/>
                <w:lang w:val="es-ES_tradnl"/>
              </w:rPr>
              <w:t>13</w:t>
            </w:r>
            <w:r w:rsidR="003C3D82" w:rsidRPr="003C18B5">
              <w:rPr>
                <w:rFonts w:ascii="Arial" w:hAnsi="Arial" w:cs="Arial"/>
                <w:lang w:val="es-ES_tradnl"/>
              </w:rPr>
              <w:t>C; y de ser posible por análisis elemental, ESI-MS y difracción de rayos X</w:t>
            </w:r>
            <w:r w:rsidR="003C3D82" w:rsidRPr="003C18B5">
              <w:rPr>
                <w:rFonts w:ascii="Arial" w:hAnsi="Arial" w:cs="Arial"/>
                <w:lang w:val="es-VE"/>
              </w:rPr>
              <w:t xml:space="preserve">. </w:t>
            </w:r>
          </w:p>
        </w:tc>
      </w:tr>
      <w:tr w:rsidR="00EE1C12" w:rsidRPr="003C18B5" w:rsidTr="005742D4">
        <w:tc>
          <w:tcPr>
            <w:tcW w:w="9394" w:type="dxa"/>
          </w:tcPr>
          <w:p w:rsidR="00EE1C12" w:rsidRPr="003C18B5" w:rsidRDefault="00EE1C12" w:rsidP="002F4891">
            <w:pPr>
              <w:spacing w:before="120" w:after="120"/>
              <w:rPr>
                <w:rFonts w:ascii="Arial" w:hAnsi="Arial" w:cs="Arial"/>
              </w:rPr>
            </w:pPr>
            <w:r w:rsidRPr="003C18B5">
              <w:rPr>
                <w:rFonts w:ascii="Arial" w:hAnsi="Arial" w:cs="Arial"/>
              </w:rPr>
              <w:t>OE4:</w:t>
            </w:r>
            <w:r w:rsidR="001F6CDB" w:rsidRPr="003C18B5">
              <w:rPr>
                <w:rFonts w:ascii="Arial" w:hAnsi="Arial" w:cs="Arial"/>
              </w:rPr>
              <w:t xml:space="preserve"> Establecer</w:t>
            </w:r>
            <w:r w:rsidR="00764B84" w:rsidRPr="003C18B5">
              <w:rPr>
                <w:rFonts w:ascii="Arial" w:hAnsi="Arial" w:cs="Arial"/>
              </w:rPr>
              <w:t xml:space="preserve"> de manera preliminar, a través de estudios </w:t>
            </w:r>
            <w:r w:rsidR="002F4891">
              <w:rPr>
                <w:rFonts w:ascii="Arial" w:hAnsi="Arial" w:cs="Arial"/>
              </w:rPr>
              <w:t xml:space="preserve">computacionales </w:t>
            </w:r>
            <w:r w:rsidR="00764B84" w:rsidRPr="003C18B5">
              <w:rPr>
                <w:rFonts w:ascii="Arial" w:hAnsi="Arial" w:cs="Arial"/>
              </w:rPr>
              <w:t xml:space="preserve">de </w:t>
            </w:r>
            <w:r w:rsidR="002F4891">
              <w:rPr>
                <w:rFonts w:ascii="Arial" w:hAnsi="Arial" w:cs="Arial"/>
              </w:rPr>
              <w:t>docking</w:t>
            </w:r>
            <w:r w:rsidR="00764B84" w:rsidRPr="003C18B5">
              <w:rPr>
                <w:rFonts w:ascii="Arial" w:hAnsi="Arial" w:cs="Arial"/>
              </w:rPr>
              <w:t xml:space="preserve"> molecular,</w:t>
            </w:r>
            <w:r w:rsidR="001F6CDB" w:rsidRPr="003C18B5">
              <w:rPr>
                <w:rFonts w:ascii="Arial" w:hAnsi="Arial" w:cs="Arial"/>
              </w:rPr>
              <w:t xml:space="preserve"> la relación entre la estructura química de los compuestos sintetizados y su potencial capacidad de inhibir la formación de hemozoína in vitro.</w:t>
            </w:r>
          </w:p>
        </w:tc>
      </w:tr>
    </w:tbl>
    <w:p w:rsidR="00013B83" w:rsidRPr="003C18B5" w:rsidRDefault="00013B83" w:rsidP="00F635FC">
      <w:pPr>
        <w:rPr>
          <w:rFonts w:ascii="Arial" w:hAnsi="Arial" w:cs="Arial"/>
          <w:b/>
        </w:rPr>
      </w:pPr>
    </w:p>
    <w:tbl>
      <w:tblPr>
        <w:tblStyle w:val="Tablaconcuadrcula"/>
        <w:tblW w:w="0" w:type="auto"/>
        <w:tblLook w:val="04A0"/>
      </w:tblPr>
      <w:tblGrid>
        <w:gridCol w:w="9606"/>
      </w:tblGrid>
      <w:tr w:rsidR="00013B83" w:rsidRPr="003C18B5" w:rsidTr="00013B83">
        <w:tc>
          <w:tcPr>
            <w:tcW w:w="9606" w:type="dxa"/>
            <w:shd w:val="clear" w:color="auto" w:fill="D9D9D9" w:themeFill="background1" w:themeFillShade="D9"/>
          </w:tcPr>
          <w:p w:rsidR="00013B83" w:rsidRPr="003C18B5" w:rsidRDefault="00013B83" w:rsidP="00E03BDD">
            <w:pPr>
              <w:spacing w:after="0"/>
              <w:rPr>
                <w:rFonts w:ascii="Arial" w:hAnsi="Arial" w:cs="Arial"/>
                <w:i/>
                <w:color w:val="000000"/>
                <w:lang w:eastAsia="es-ES"/>
              </w:rPr>
            </w:pPr>
            <w:r w:rsidRPr="003C18B5">
              <w:rPr>
                <w:rFonts w:ascii="Arial" w:hAnsi="Arial" w:cs="Arial"/>
                <w:b/>
              </w:rPr>
              <w:t xml:space="preserve">10.- </w:t>
            </w:r>
            <w:r w:rsidR="006A070C" w:rsidRPr="003C18B5">
              <w:rPr>
                <w:rFonts w:ascii="Arial" w:hAnsi="Arial" w:cs="Arial"/>
                <w:b/>
              </w:rPr>
              <w:t>METODOLOGÍA</w:t>
            </w:r>
          </w:p>
          <w:p w:rsidR="00013B83" w:rsidRPr="003C18B5" w:rsidRDefault="00013B83" w:rsidP="00E03BDD">
            <w:pPr>
              <w:spacing w:after="0"/>
              <w:rPr>
                <w:rFonts w:ascii="Arial" w:hAnsi="Arial" w:cs="Arial"/>
              </w:rPr>
            </w:pPr>
            <w:r w:rsidRPr="003C18B5">
              <w:rPr>
                <w:rFonts w:ascii="Arial" w:hAnsi="Arial" w:cs="Arial"/>
                <w:i/>
                <w:color w:val="000000"/>
                <w:lang w:eastAsia="es-ES"/>
              </w:rPr>
              <w:t>Describe el proceso que va a seguir para cumplir los objetivos o demostrar la hipótesis.</w:t>
            </w:r>
          </w:p>
        </w:tc>
      </w:tr>
      <w:tr w:rsidR="008F3B2C" w:rsidRPr="003C18B5" w:rsidTr="00013B83">
        <w:trPr>
          <w:trHeight w:val="261"/>
        </w:trPr>
        <w:tc>
          <w:tcPr>
            <w:tcW w:w="9606" w:type="dxa"/>
            <w:shd w:val="clear" w:color="auto" w:fill="9CC2E5" w:themeFill="accent1" w:themeFillTint="99"/>
            <w:vAlign w:val="bottom"/>
          </w:tcPr>
          <w:p w:rsidR="008F3B2C" w:rsidRPr="003C18B5" w:rsidRDefault="008F3B2C" w:rsidP="005742D4">
            <w:pPr>
              <w:spacing w:after="0"/>
              <w:rPr>
                <w:rFonts w:ascii="Arial" w:hAnsi="Arial" w:cs="Arial"/>
              </w:rPr>
            </w:pPr>
            <w:r w:rsidRPr="003C18B5">
              <w:rPr>
                <w:rFonts w:ascii="Arial" w:hAnsi="Arial" w:cs="Arial"/>
              </w:rPr>
              <w:t>10.1.- Diseño del Estudio</w:t>
            </w:r>
          </w:p>
          <w:p w:rsidR="008F3B2C" w:rsidRPr="003C18B5" w:rsidRDefault="00525FCA" w:rsidP="00525FCA">
            <w:pPr>
              <w:spacing w:after="0"/>
              <w:rPr>
                <w:rFonts w:ascii="Arial" w:hAnsi="Arial" w:cs="Arial"/>
                <w:i/>
              </w:rPr>
            </w:pPr>
            <w:r w:rsidRPr="003C18B5">
              <w:rPr>
                <w:rFonts w:ascii="Arial" w:hAnsi="Arial" w:cs="Arial"/>
                <w:i/>
              </w:rPr>
              <w:t>(</w:t>
            </w:r>
            <w:r w:rsidR="006A070C" w:rsidRPr="003C18B5">
              <w:rPr>
                <w:rFonts w:ascii="Arial" w:hAnsi="Arial" w:cs="Arial"/>
                <w:i/>
              </w:rPr>
              <w:t>Redacción</w:t>
            </w:r>
            <w:r w:rsidR="00FC581D" w:rsidRPr="003C18B5">
              <w:rPr>
                <w:rFonts w:ascii="Arial" w:hAnsi="Arial" w:cs="Arial"/>
                <w:i/>
              </w:rPr>
              <w:t xml:space="preserve"> que incluye</w:t>
            </w:r>
            <w:r w:rsidRPr="003C18B5">
              <w:rPr>
                <w:rFonts w:ascii="Arial" w:hAnsi="Arial" w:cs="Arial"/>
                <w:i/>
              </w:rPr>
              <w:t xml:space="preserve"> el tipo de estudio, </w:t>
            </w:r>
            <w:r w:rsidR="005742D4" w:rsidRPr="003C18B5">
              <w:rPr>
                <w:rFonts w:ascii="Arial" w:hAnsi="Arial" w:cs="Arial"/>
                <w:i/>
              </w:rPr>
              <w:t>sujetos</w:t>
            </w:r>
            <w:r w:rsidRPr="003C18B5">
              <w:rPr>
                <w:rFonts w:ascii="Arial" w:hAnsi="Arial" w:cs="Arial"/>
                <w:i/>
              </w:rPr>
              <w:t xml:space="preserve"> u objetos que participarán, y qué se realizará)</w:t>
            </w:r>
          </w:p>
        </w:tc>
      </w:tr>
      <w:tr w:rsidR="008F3B2C" w:rsidRPr="003C18B5" w:rsidTr="00013B83">
        <w:trPr>
          <w:trHeight w:val="548"/>
        </w:trPr>
        <w:tc>
          <w:tcPr>
            <w:tcW w:w="9606" w:type="dxa"/>
          </w:tcPr>
          <w:p w:rsidR="00BA22AB" w:rsidRPr="003C18B5" w:rsidRDefault="00BA22AB" w:rsidP="001A55A1">
            <w:pPr>
              <w:autoSpaceDE w:val="0"/>
              <w:autoSpaceDN w:val="0"/>
              <w:adjustRightInd w:val="0"/>
              <w:spacing w:before="120" w:after="120"/>
              <w:ind w:firstLine="567"/>
              <w:rPr>
                <w:rFonts w:ascii="Arial" w:hAnsi="Arial" w:cs="Arial"/>
              </w:rPr>
            </w:pPr>
            <w:r w:rsidRPr="003C18B5">
              <w:rPr>
                <w:rFonts w:ascii="Arial" w:hAnsi="Arial" w:cs="Arial"/>
              </w:rPr>
              <w:t>Se propone la síntesis de derivados (</w:t>
            </w:r>
            <w:r w:rsidRPr="001A55A1">
              <w:rPr>
                <w:rFonts w:ascii="Arial" w:hAnsi="Arial" w:cs="Arial"/>
                <w:b/>
              </w:rPr>
              <w:t>13</w:t>
            </w:r>
            <w:r w:rsidRPr="003C18B5">
              <w:rPr>
                <w:rFonts w:ascii="Arial" w:hAnsi="Arial" w:cs="Arial"/>
              </w:rPr>
              <w:t>) con el farmacóforo 7-cloro-4-aminoquinolina con un anillo fenil en la función 4-amino del núcleo quinolínico (</w:t>
            </w:r>
            <w:r w:rsidRPr="001A55A1">
              <w:rPr>
                <w:rFonts w:ascii="Arial" w:hAnsi="Arial" w:cs="Arial"/>
                <w:b/>
              </w:rPr>
              <w:t>1</w:t>
            </w:r>
            <w:r w:rsidR="004B2983" w:rsidRPr="001A55A1">
              <w:rPr>
                <w:rFonts w:ascii="Arial" w:hAnsi="Arial" w:cs="Arial"/>
                <w:b/>
              </w:rPr>
              <w:t>0</w:t>
            </w:r>
            <w:r w:rsidRPr="003C18B5">
              <w:rPr>
                <w:rFonts w:ascii="Arial" w:hAnsi="Arial" w:cs="Arial"/>
              </w:rPr>
              <w:t xml:space="preserve"> y </w:t>
            </w:r>
            <w:r w:rsidRPr="001A55A1">
              <w:rPr>
                <w:rFonts w:ascii="Arial" w:hAnsi="Arial" w:cs="Arial"/>
                <w:b/>
              </w:rPr>
              <w:t>1</w:t>
            </w:r>
            <w:r w:rsidR="004B2983" w:rsidRPr="001A55A1">
              <w:rPr>
                <w:rFonts w:ascii="Arial" w:hAnsi="Arial" w:cs="Arial"/>
                <w:b/>
              </w:rPr>
              <w:t>1</w:t>
            </w:r>
            <w:r w:rsidRPr="003C18B5">
              <w:rPr>
                <w:rFonts w:ascii="Arial" w:hAnsi="Arial" w:cs="Arial"/>
              </w:rPr>
              <w:t>)</w:t>
            </w:r>
            <w:r w:rsidR="004B2983" w:rsidRPr="003C18B5">
              <w:rPr>
                <w:rFonts w:ascii="Arial" w:hAnsi="Arial" w:cs="Arial"/>
              </w:rPr>
              <w:t>, y tres</w:t>
            </w:r>
            <w:r w:rsidRPr="003C18B5">
              <w:rPr>
                <w:rFonts w:ascii="Arial" w:hAnsi="Arial" w:cs="Arial"/>
              </w:rPr>
              <w:t xml:space="preserve"> tipos de sustituciones sobre el anillo aromático ubicado en posiciones </w:t>
            </w:r>
            <w:r w:rsidRPr="003C18B5">
              <w:rPr>
                <w:rFonts w:ascii="Arial" w:hAnsi="Arial" w:cs="Arial"/>
                <w:i/>
              </w:rPr>
              <w:t xml:space="preserve">meta </w:t>
            </w:r>
            <w:r w:rsidRPr="003C18B5">
              <w:rPr>
                <w:rFonts w:ascii="Arial" w:hAnsi="Arial" w:cs="Arial"/>
              </w:rPr>
              <w:t xml:space="preserve">(3´) y </w:t>
            </w:r>
            <w:r w:rsidRPr="003C18B5">
              <w:rPr>
                <w:rFonts w:ascii="Arial" w:hAnsi="Arial" w:cs="Arial"/>
                <w:i/>
              </w:rPr>
              <w:t xml:space="preserve">para </w:t>
            </w:r>
            <w:r w:rsidRPr="003C18B5">
              <w:rPr>
                <w:rFonts w:ascii="Arial" w:hAnsi="Arial" w:cs="Arial"/>
              </w:rPr>
              <w:t>(4´), con unidades de semicarbazona (</w:t>
            </w:r>
            <w:r w:rsidR="004B2983" w:rsidRPr="003C18B5">
              <w:rPr>
                <w:rFonts w:ascii="Arial" w:hAnsi="Arial" w:cs="Arial"/>
              </w:rPr>
              <w:t xml:space="preserve">A = Oxígeno), </w:t>
            </w:r>
            <w:r w:rsidRPr="003C18B5">
              <w:rPr>
                <w:rFonts w:ascii="Arial" w:hAnsi="Arial" w:cs="Arial"/>
              </w:rPr>
              <w:t>tiosemicarbazona (</w:t>
            </w:r>
            <w:r w:rsidR="004B2983" w:rsidRPr="003C18B5">
              <w:rPr>
                <w:rFonts w:ascii="Arial" w:hAnsi="Arial" w:cs="Arial"/>
              </w:rPr>
              <w:t>A = Azufre</w:t>
            </w:r>
            <w:r w:rsidRPr="003C18B5">
              <w:rPr>
                <w:rFonts w:ascii="Arial" w:hAnsi="Arial" w:cs="Arial"/>
              </w:rPr>
              <w:t>)</w:t>
            </w:r>
            <w:r w:rsidR="004B2983" w:rsidRPr="003C18B5">
              <w:rPr>
                <w:rFonts w:ascii="Arial" w:hAnsi="Arial" w:cs="Arial"/>
              </w:rPr>
              <w:t xml:space="preserve"> y </w:t>
            </w:r>
            <w:r w:rsidR="00B771CF" w:rsidRPr="003C18B5">
              <w:rPr>
                <w:rFonts w:ascii="Arial" w:hAnsi="Arial" w:cs="Arial"/>
              </w:rPr>
              <w:t>carboximidamida (A = NH)</w:t>
            </w:r>
            <w:r w:rsidRPr="003C18B5">
              <w:rPr>
                <w:rFonts w:ascii="Arial" w:hAnsi="Arial" w:cs="Arial"/>
              </w:rPr>
              <w:t>, con 4´´-NH</w:t>
            </w:r>
            <w:r w:rsidRPr="003C18B5">
              <w:rPr>
                <w:rFonts w:ascii="Arial" w:hAnsi="Arial" w:cs="Arial"/>
                <w:vertAlign w:val="subscript"/>
              </w:rPr>
              <w:t>2</w:t>
            </w:r>
            <w:r w:rsidRPr="003C18B5">
              <w:rPr>
                <w:rFonts w:ascii="Arial" w:hAnsi="Arial" w:cs="Arial"/>
              </w:rPr>
              <w:t xml:space="preserve"> </w:t>
            </w:r>
            <w:r w:rsidR="00645E07" w:rsidRPr="003C18B5">
              <w:rPr>
                <w:rFonts w:ascii="Arial" w:hAnsi="Arial" w:cs="Arial"/>
              </w:rPr>
              <w:t xml:space="preserve">no sustituido y </w:t>
            </w:r>
            <w:r w:rsidR="00B771CF" w:rsidRPr="003C18B5">
              <w:rPr>
                <w:rFonts w:ascii="Arial" w:hAnsi="Arial" w:cs="Arial"/>
              </w:rPr>
              <w:t>sustituido por anillos fenil (Ph)</w:t>
            </w:r>
            <w:r w:rsidRPr="003C18B5">
              <w:rPr>
                <w:rFonts w:ascii="Arial" w:hAnsi="Arial" w:cs="Arial"/>
              </w:rPr>
              <w:t xml:space="preserve">. En la </w:t>
            </w:r>
            <w:r w:rsidR="00977B4E" w:rsidRPr="003C18B5">
              <w:rPr>
                <w:rFonts w:ascii="Arial" w:hAnsi="Arial" w:cs="Arial"/>
              </w:rPr>
              <w:t>Figura 3</w:t>
            </w:r>
            <w:r w:rsidRPr="003C18B5">
              <w:rPr>
                <w:rFonts w:ascii="Arial" w:hAnsi="Arial" w:cs="Arial"/>
              </w:rPr>
              <w:t xml:space="preserve"> se muestra el diseño estructural general para los </w:t>
            </w:r>
            <w:r w:rsidR="0062300A" w:rsidRPr="003C18B5">
              <w:rPr>
                <w:rFonts w:ascii="Arial" w:hAnsi="Arial" w:cs="Arial"/>
              </w:rPr>
              <w:t xml:space="preserve">doce </w:t>
            </w:r>
            <w:r w:rsidRPr="003C18B5">
              <w:rPr>
                <w:rFonts w:ascii="Arial" w:hAnsi="Arial" w:cs="Arial"/>
              </w:rPr>
              <w:t>compuestos finales (</w:t>
            </w:r>
            <w:r w:rsidR="00977B4E" w:rsidRPr="001A55A1">
              <w:rPr>
                <w:rFonts w:ascii="Arial" w:hAnsi="Arial" w:cs="Arial"/>
                <w:b/>
              </w:rPr>
              <w:t>13a-l</w:t>
            </w:r>
            <w:r w:rsidRPr="003C18B5">
              <w:rPr>
                <w:rFonts w:ascii="Arial" w:hAnsi="Arial" w:cs="Arial"/>
              </w:rPr>
              <w:t xml:space="preserve">) del presente </w:t>
            </w:r>
            <w:r w:rsidR="00977B4E" w:rsidRPr="003C18B5">
              <w:rPr>
                <w:rFonts w:ascii="Arial" w:hAnsi="Arial" w:cs="Arial"/>
              </w:rPr>
              <w:t>proyecto</w:t>
            </w:r>
            <w:r w:rsidRPr="003C18B5">
              <w:rPr>
                <w:rFonts w:ascii="Arial" w:hAnsi="Arial" w:cs="Arial"/>
              </w:rPr>
              <w:t>.</w:t>
            </w:r>
          </w:p>
          <w:tbl>
            <w:tblPr>
              <w:tblW w:w="0" w:type="auto"/>
              <w:jc w:val="center"/>
              <w:tblLook w:val="04A0"/>
            </w:tblPr>
            <w:tblGrid>
              <w:gridCol w:w="9380"/>
            </w:tblGrid>
            <w:tr w:rsidR="00BA22AB" w:rsidRPr="003C18B5" w:rsidTr="00412324">
              <w:trPr>
                <w:trHeight w:val="1974"/>
                <w:jc w:val="center"/>
              </w:trPr>
              <w:tc>
                <w:tcPr>
                  <w:tcW w:w="9380" w:type="dxa"/>
                  <w:vAlign w:val="center"/>
                </w:tcPr>
                <w:p w:rsidR="00BA22AB" w:rsidRPr="003C18B5" w:rsidRDefault="00402D05" w:rsidP="00402D05">
                  <w:pPr>
                    <w:autoSpaceDE w:val="0"/>
                    <w:autoSpaceDN w:val="0"/>
                    <w:adjustRightInd w:val="0"/>
                    <w:jc w:val="center"/>
                    <w:rPr>
                      <w:rFonts w:ascii="Arial" w:hAnsi="Arial" w:cs="Arial"/>
                    </w:rPr>
                  </w:pPr>
                  <w:r w:rsidRPr="003C18B5">
                    <w:rPr>
                      <w:rFonts w:ascii="Arial" w:hAnsi="Arial" w:cs="Arial"/>
                    </w:rPr>
                    <w:object w:dxaOrig="5160" w:dyaOrig="12705">
                      <v:shape id="_x0000_i1025" type="#_x0000_t75" style="width:195.25pt;height:480.45pt" o:ole="">
                        <v:imagedata r:id="rId35" o:title=""/>
                      </v:shape>
                      <o:OLEObject Type="Embed" ProgID="ACD.ChemSketch.20" ShapeID="_x0000_i1025" DrawAspect="Content" ObjectID="_1574214144" r:id="rId36"/>
                    </w:object>
                  </w:r>
                </w:p>
              </w:tc>
            </w:tr>
            <w:tr w:rsidR="00BA22AB" w:rsidRPr="003C18B5" w:rsidTr="00412324">
              <w:trPr>
                <w:jc w:val="center"/>
              </w:trPr>
              <w:tc>
                <w:tcPr>
                  <w:tcW w:w="9380" w:type="dxa"/>
                  <w:vAlign w:val="center"/>
                </w:tcPr>
                <w:tbl>
                  <w:tblPr>
                    <w:tblpPr w:leftFromText="141" w:rightFromText="141" w:vertAnchor="text" w:horzAnchor="margin" w:tblpXSpec="center" w:tblpY="-116"/>
                    <w:tblOverlap w:val="never"/>
                    <w:tblW w:w="4267" w:type="dxa"/>
                    <w:tblBorders>
                      <w:top w:val="single" w:sz="4" w:space="0" w:color="000000"/>
                      <w:bottom w:val="single" w:sz="4" w:space="0" w:color="000000"/>
                      <w:insideH w:val="single" w:sz="4" w:space="0" w:color="000000"/>
                    </w:tblBorders>
                    <w:tblLook w:val="04A0"/>
                  </w:tblPr>
                  <w:tblGrid>
                    <w:gridCol w:w="1318"/>
                    <w:gridCol w:w="815"/>
                    <w:gridCol w:w="795"/>
                    <w:gridCol w:w="1339"/>
                  </w:tblGrid>
                  <w:tr w:rsidR="00BA22AB" w:rsidRPr="003C18B5" w:rsidTr="00BA22AB">
                    <w:trPr>
                      <w:trHeight w:val="255"/>
                    </w:trPr>
                    <w:tc>
                      <w:tcPr>
                        <w:tcW w:w="4267" w:type="dxa"/>
                        <w:gridSpan w:val="4"/>
                        <w:tcBorders>
                          <w:top w:val="nil"/>
                          <w:bottom w:val="single" w:sz="12" w:space="0" w:color="000000"/>
                        </w:tcBorders>
                        <w:vAlign w:val="center"/>
                      </w:tcPr>
                      <w:p w:rsidR="00BA22AB" w:rsidRPr="003C18B5" w:rsidRDefault="00BA22AB" w:rsidP="00C80606">
                        <w:pPr>
                          <w:autoSpaceDE w:val="0"/>
                          <w:autoSpaceDN w:val="0"/>
                          <w:adjustRightInd w:val="0"/>
                          <w:spacing w:after="120"/>
                          <w:jc w:val="center"/>
                          <w:rPr>
                            <w:rFonts w:ascii="Arial" w:hAnsi="Arial" w:cs="Arial"/>
                            <w:b/>
                          </w:rPr>
                        </w:pPr>
                        <w:r w:rsidRPr="003C18B5">
                          <w:rPr>
                            <w:rFonts w:ascii="Arial" w:hAnsi="Arial" w:cs="Arial"/>
                            <w:b/>
                          </w:rPr>
                          <w:t xml:space="preserve">Derivados orgánicos </w:t>
                        </w:r>
                        <w:r w:rsidRPr="003C18B5">
                          <w:rPr>
                            <w:rFonts w:ascii="Arial" w:hAnsi="Arial" w:cs="Arial"/>
                            <w:b/>
                            <w:u w:val="single"/>
                          </w:rPr>
                          <w:t>13</w:t>
                        </w:r>
                      </w:p>
                    </w:tc>
                  </w:tr>
                  <w:tr w:rsidR="00BA22AB" w:rsidRPr="003C18B5" w:rsidTr="00BA22AB">
                    <w:trPr>
                      <w:trHeight w:val="242"/>
                    </w:trPr>
                    <w:tc>
                      <w:tcPr>
                        <w:tcW w:w="1318" w:type="dxa"/>
                        <w:tcBorders>
                          <w:top w:val="single" w:sz="12" w:space="0" w:color="000000"/>
                          <w:bottom w:val="single" w:sz="12" w:space="0" w:color="000000"/>
                        </w:tcBorders>
                        <w:shd w:val="pct10" w:color="auto" w:fill="auto"/>
                        <w:vAlign w:val="center"/>
                      </w:tcPr>
                      <w:p w:rsidR="00BA22AB" w:rsidRPr="003C18B5" w:rsidRDefault="00BA22AB" w:rsidP="00C80606">
                        <w:pPr>
                          <w:autoSpaceDE w:val="0"/>
                          <w:autoSpaceDN w:val="0"/>
                          <w:adjustRightInd w:val="0"/>
                          <w:spacing w:after="0"/>
                          <w:jc w:val="center"/>
                          <w:rPr>
                            <w:rFonts w:ascii="Arial" w:hAnsi="Arial" w:cs="Arial"/>
                            <w:b/>
                            <w:vertAlign w:val="superscript"/>
                          </w:rPr>
                        </w:pPr>
                        <w:r w:rsidRPr="003C18B5">
                          <w:rPr>
                            <w:rFonts w:ascii="Arial" w:hAnsi="Arial" w:cs="Arial"/>
                            <w:b/>
                          </w:rPr>
                          <w:t>3</w:t>
                        </w:r>
                        <w:r w:rsidRPr="003C18B5">
                          <w:rPr>
                            <w:rFonts w:ascii="Arial" w:hAnsi="Arial" w:cs="Arial"/>
                            <w:b/>
                            <w:vertAlign w:val="superscript"/>
                          </w:rPr>
                          <w:t>’</w:t>
                        </w:r>
                      </w:p>
                    </w:tc>
                    <w:tc>
                      <w:tcPr>
                        <w:tcW w:w="815" w:type="dxa"/>
                        <w:tcBorders>
                          <w:top w:val="single" w:sz="12" w:space="0" w:color="000000"/>
                          <w:bottom w:val="single" w:sz="12" w:space="0" w:color="000000"/>
                        </w:tcBorders>
                        <w:shd w:val="pct10" w:color="auto" w:fill="auto"/>
                        <w:vAlign w:val="center"/>
                      </w:tcPr>
                      <w:p w:rsidR="00507B26" w:rsidRPr="003C18B5" w:rsidRDefault="00507B26" w:rsidP="00C80606">
                        <w:pPr>
                          <w:autoSpaceDE w:val="0"/>
                          <w:autoSpaceDN w:val="0"/>
                          <w:adjustRightInd w:val="0"/>
                          <w:spacing w:after="0"/>
                          <w:jc w:val="center"/>
                          <w:rPr>
                            <w:rFonts w:ascii="Arial" w:hAnsi="Arial" w:cs="Arial"/>
                            <w:b/>
                          </w:rPr>
                        </w:pPr>
                        <w:r w:rsidRPr="003C18B5">
                          <w:rPr>
                            <w:rFonts w:ascii="Arial" w:hAnsi="Arial" w:cs="Arial"/>
                            <w:b/>
                          </w:rPr>
                          <w:t>A</w:t>
                        </w:r>
                      </w:p>
                    </w:tc>
                    <w:tc>
                      <w:tcPr>
                        <w:tcW w:w="795" w:type="dxa"/>
                        <w:tcBorders>
                          <w:top w:val="single" w:sz="12" w:space="0" w:color="000000"/>
                          <w:bottom w:val="single" w:sz="12" w:space="0" w:color="000000"/>
                        </w:tcBorders>
                        <w:shd w:val="pct10" w:color="auto" w:fill="auto"/>
                        <w:vAlign w:val="center"/>
                      </w:tcPr>
                      <w:p w:rsidR="00BA22AB" w:rsidRPr="003C18B5" w:rsidRDefault="00BA22AB" w:rsidP="00C80606">
                        <w:pPr>
                          <w:autoSpaceDE w:val="0"/>
                          <w:autoSpaceDN w:val="0"/>
                          <w:adjustRightInd w:val="0"/>
                          <w:spacing w:after="0"/>
                          <w:jc w:val="center"/>
                          <w:rPr>
                            <w:rFonts w:ascii="Arial" w:hAnsi="Arial" w:cs="Arial"/>
                            <w:b/>
                          </w:rPr>
                        </w:pPr>
                        <w:r w:rsidRPr="003C18B5">
                          <w:rPr>
                            <w:rFonts w:ascii="Arial" w:hAnsi="Arial" w:cs="Arial"/>
                            <w:b/>
                          </w:rPr>
                          <w:t>R</w:t>
                        </w:r>
                        <w:r w:rsidR="00507B26" w:rsidRPr="003C18B5">
                          <w:rPr>
                            <w:rFonts w:ascii="Arial" w:hAnsi="Arial" w:cs="Arial"/>
                            <w:b/>
                            <w:vertAlign w:val="superscript"/>
                          </w:rPr>
                          <w:t>1</w:t>
                        </w:r>
                      </w:p>
                    </w:tc>
                    <w:tc>
                      <w:tcPr>
                        <w:tcW w:w="1339" w:type="dxa"/>
                        <w:tcBorders>
                          <w:top w:val="single" w:sz="12" w:space="0" w:color="000000"/>
                          <w:bottom w:val="single" w:sz="12" w:space="0" w:color="000000"/>
                        </w:tcBorders>
                        <w:shd w:val="pct10" w:color="auto" w:fill="auto"/>
                        <w:vAlign w:val="center"/>
                      </w:tcPr>
                      <w:p w:rsidR="00BA22AB" w:rsidRPr="003C18B5" w:rsidRDefault="00BA22AB" w:rsidP="00C80606">
                        <w:pPr>
                          <w:autoSpaceDE w:val="0"/>
                          <w:autoSpaceDN w:val="0"/>
                          <w:adjustRightInd w:val="0"/>
                          <w:spacing w:after="0"/>
                          <w:jc w:val="center"/>
                          <w:rPr>
                            <w:rFonts w:ascii="Arial" w:hAnsi="Arial" w:cs="Arial"/>
                            <w:b/>
                          </w:rPr>
                        </w:pPr>
                        <w:r w:rsidRPr="003C18B5">
                          <w:rPr>
                            <w:rFonts w:ascii="Arial" w:hAnsi="Arial" w:cs="Arial"/>
                            <w:b/>
                          </w:rPr>
                          <w:t>4</w:t>
                        </w:r>
                        <w:r w:rsidRPr="003C18B5">
                          <w:rPr>
                            <w:rFonts w:ascii="Arial" w:hAnsi="Arial" w:cs="Arial"/>
                            <w:b/>
                            <w:vertAlign w:val="superscript"/>
                          </w:rPr>
                          <w:t>’</w:t>
                        </w:r>
                      </w:p>
                    </w:tc>
                  </w:tr>
                  <w:tr w:rsidR="00BA22AB" w:rsidRPr="003C18B5" w:rsidTr="00BA22AB">
                    <w:trPr>
                      <w:trHeight w:val="51"/>
                    </w:trPr>
                    <w:tc>
                      <w:tcPr>
                        <w:tcW w:w="1318" w:type="dxa"/>
                        <w:tcBorders>
                          <w:top w:val="single" w:sz="12" w:space="0" w:color="000000"/>
                        </w:tcBorders>
                        <w:vAlign w:val="center"/>
                      </w:tcPr>
                      <w:p w:rsidR="00BA22AB" w:rsidRPr="003C18B5" w:rsidRDefault="00BA22AB" w:rsidP="00C80606">
                        <w:pPr>
                          <w:autoSpaceDE w:val="0"/>
                          <w:autoSpaceDN w:val="0"/>
                          <w:adjustRightInd w:val="0"/>
                          <w:spacing w:after="0"/>
                          <w:jc w:val="center"/>
                          <w:rPr>
                            <w:rFonts w:ascii="Arial" w:hAnsi="Arial" w:cs="Arial"/>
                            <w:b/>
                          </w:rPr>
                        </w:pPr>
                        <w:r w:rsidRPr="003C18B5">
                          <w:rPr>
                            <w:rFonts w:ascii="Arial" w:hAnsi="Arial" w:cs="Arial"/>
                            <w:b/>
                          </w:rPr>
                          <w:t>CQ(t)sm-a</w:t>
                        </w:r>
                      </w:p>
                    </w:tc>
                    <w:tc>
                      <w:tcPr>
                        <w:tcW w:w="815" w:type="dxa"/>
                        <w:tcBorders>
                          <w:top w:val="single" w:sz="12" w:space="0" w:color="000000"/>
                        </w:tcBorders>
                        <w:vAlign w:val="center"/>
                      </w:tcPr>
                      <w:p w:rsidR="00BA22AB" w:rsidRPr="003C18B5" w:rsidRDefault="00BA22AB" w:rsidP="00402D05">
                        <w:pPr>
                          <w:autoSpaceDE w:val="0"/>
                          <w:autoSpaceDN w:val="0"/>
                          <w:adjustRightInd w:val="0"/>
                          <w:spacing w:after="0"/>
                          <w:jc w:val="center"/>
                          <w:rPr>
                            <w:rFonts w:ascii="Arial" w:hAnsi="Arial" w:cs="Arial"/>
                          </w:rPr>
                        </w:pPr>
                        <w:r w:rsidRPr="003C18B5">
                          <w:rPr>
                            <w:rFonts w:ascii="Arial" w:hAnsi="Arial" w:cs="Arial"/>
                          </w:rPr>
                          <w:t>O</w:t>
                        </w:r>
                      </w:p>
                    </w:tc>
                    <w:tc>
                      <w:tcPr>
                        <w:tcW w:w="795" w:type="dxa"/>
                        <w:tcBorders>
                          <w:top w:val="single" w:sz="12" w:space="0" w:color="000000"/>
                        </w:tcBorders>
                        <w:vAlign w:val="center"/>
                      </w:tcPr>
                      <w:p w:rsidR="00BA22AB" w:rsidRPr="003C18B5" w:rsidRDefault="00BA22AB" w:rsidP="00402D05">
                        <w:pPr>
                          <w:autoSpaceDE w:val="0"/>
                          <w:autoSpaceDN w:val="0"/>
                          <w:adjustRightInd w:val="0"/>
                          <w:spacing w:after="0"/>
                          <w:jc w:val="center"/>
                          <w:rPr>
                            <w:rFonts w:ascii="Arial" w:hAnsi="Arial" w:cs="Arial"/>
                          </w:rPr>
                        </w:pPr>
                        <w:r w:rsidRPr="003C18B5">
                          <w:rPr>
                            <w:rFonts w:ascii="Arial" w:hAnsi="Arial" w:cs="Arial"/>
                          </w:rPr>
                          <w:t>H</w:t>
                        </w:r>
                      </w:p>
                    </w:tc>
                    <w:tc>
                      <w:tcPr>
                        <w:tcW w:w="1339" w:type="dxa"/>
                        <w:tcBorders>
                          <w:top w:val="single" w:sz="12" w:space="0" w:color="000000"/>
                        </w:tcBorders>
                        <w:vAlign w:val="center"/>
                      </w:tcPr>
                      <w:p w:rsidR="00BA22AB" w:rsidRPr="003C18B5" w:rsidRDefault="00BA22AB" w:rsidP="00402D05">
                        <w:pPr>
                          <w:autoSpaceDE w:val="0"/>
                          <w:autoSpaceDN w:val="0"/>
                          <w:adjustRightInd w:val="0"/>
                          <w:spacing w:after="0"/>
                          <w:jc w:val="center"/>
                          <w:rPr>
                            <w:rFonts w:ascii="Arial" w:hAnsi="Arial" w:cs="Arial"/>
                            <w:b/>
                          </w:rPr>
                        </w:pPr>
                        <w:r w:rsidRPr="003C18B5">
                          <w:rPr>
                            <w:rFonts w:ascii="Arial" w:hAnsi="Arial" w:cs="Arial"/>
                            <w:b/>
                          </w:rPr>
                          <w:t>CQ(t)sm-</w:t>
                        </w:r>
                        <w:r w:rsidR="00874E8B" w:rsidRPr="003C18B5">
                          <w:rPr>
                            <w:rFonts w:ascii="Arial" w:hAnsi="Arial" w:cs="Arial"/>
                            <w:b/>
                          </w:rPr>
                          <w:t>b</w:t>
                        </w:r>
                      </w:p>
                    </w:tc>
                  </w:tr>
                  <w:tr w:rsidR="00BA22AB" w:rsidRPr="003C18B5" w:rsidTr="00BA22AB">
                    <w:trPr>
                      <w:trHeight w:val="255"/>
                    </w:trPr>
                    <w:tc>
                      <w:tcPr>
                        <w:tcW w:w="1318" w:type="dxa"/>
                        <w:vAlign w:val="center"/>
                      </w:tcPr>
                      <w:p w:rsidR="00BA22AB" w:rsidRPr="003C18B5" w:rsidRDefault="00BA22AB" w:rsidP="00402D05">
                        <w:pPr>
                          <w:autoSpaceDE w:val="0"/>
                          <w:autoSpaceDN w:val="0"/>
                          <w:adjustRightInd w:val="0"/>
                          <w:spacing w:after="0"/>
                          <w:jc w:val="center"/>
                          <w:rPr>
                            <w:rFonts w:ascii="Arial" w:hAnsi="Arial" w:cs="Arial"/>
                            <w:b/>
                          </w:rPr>
                        </w:pPr>
                        <w:r w:rsidRPr="003C18B5">
                          <w:rPr>
                            <w:rFonts w:ascii="Arial" w:hAnsi="Arial" w:cs="Arial"/>
                            <w:b/>
                          </w:rPr>
                          <w:t>CQ(t)sm-</w:t>
                        </w:r>
                        <w:r w:rsidR="00874E8B" w:rsidRPr="003C18B5">
                          <w:rPr>
                            <w:rFonts w:ascii="Arial" w:hAnsi="Arial" w:cs="Arial"/>
                            <w:b/>
                          </w:rPr>
                          <w:t>c</w:t>
                        </w:r>
                      </w:p>
                    </w:tc>
                    <w:tc>
                      <w:tcPr>
                        <w:tcW w:w="815" w:type="dxa"/>
                        <w:vAlign w:val="center"/>
                      </w:tcPr>
                      <w:p w:rsidR="00BA22AB" w:rsidRPr="003C18B5" w:rsidRDefault="00BA22AB" w:rsidP="00402D05">
                        <w:pPr>
                          <w:autoSpaceDE w:val="0"/>
                          <w:autoSpaceDN w:val="0"/>
                          <w:adjustRightInd w:val="0"/>
                          <w:spacing w:after="0"/>
                          <w:jc w:val="center"/>
                          <w:rPr>
                            <w:rFonts w:ascii="Arial" w:hAnsi="Arial" w:cs="Arial"/>
                          </w:rPr>
                        </w:pPr>
                        <w:r w:rsidRPr="003C18B5">
                          <w:rPr>
                            <w:rFonts w:ascii="Arial" w:hAnsi="Arial" w:cs="Arial"/>
                          </w:rPr>
                          <w:t>S</w:t>
                        </w:r>
                      </w:p>
                    </w:tc>
                    <w:tc>
                      <w:tcPr>
                        <w:tcW w:w="795" w:type="dxa"/>
                        <w:vAlign w:val="center"/>
                      </w:tcPr>
                      <w:p w:rsidR="00BA22AB" w:rsidRPr="003C18B5" w:rsidRDefault="00BA22AB" w:rsidP="00402D05">
                        <w:pPr>
                          <w:autoSpaceDE w:val="0"/>
                          <w:autoSpaceDN w:val="0"/>
                          <w:adjustRightInd w:val="0"/>
                          <w:spacing w:after="0"/>
                          <w:jc w:val="center"/>
                          <w:rPr>
                            <w:rFonts w:ascii="Arial" w:hAnsi="Arial" w:cs="Arial"/>
                          </w:rPr>
                        </w:pPr>
                        <w:r w:rsidRPr="003C18B5">
                          <w:rPr>
                            <w:rFonts w:ascii="Arial" w:hAnsi="Arial" w:cs="Arial"/>
                          </w:rPr>
                          <w:t>H</w:t>
                        </w:r>
                      </w:p>
                    </w:tc>
                    <w:tc>
                      <w:tcPr>
                        <w:tcW w:w="1339" w:type="dxa"/>
                        <w:vAlign w:val="center"/>
                      </w:tcPr>
                      <w:p w:rsidR="00BA22AB" w:rsidRPr="003C18B5" w:rsidRDefault="00BA22AB" w:rsidP="00402D05">
                        <w:pPr>
                          <w:autoSpaceDE w:val="0"/>
                          <w:autoSpaceDN w:val="0"/>
                          <w:adjustRightInd w:val="0"/>
                          <w:spacing w:after="0"/>
                          <w:jc w:val="center"/>
                          <w:rPr>
                            <w:rFonts w:ascii="Arial" w:hAnsi="Arial" w:cs="Arial"/>
                            <w:b/>
                          </w:rPr>
                        </w:pPr>
                        <w:r w:rsidRPr="003C18B5">
                          <w:rPr>
                            <w:rFonts w:ascii="Arial" w:hAnsi="Arial" w:cs="Arial"/>
                            <w:b/>
                          </w:rPr>
                          <w:t>CQ(t)sm-</w:t>
                        </w:r>
                        <w:r w:rsidR="00874E8B" w:rsidRPr="003C18B5">
                          <w:rPr>
                            <w:rFonts w:ascii="Arial" w:hAnsi="Arial" w:cs="Arial"/>
                            <w:b/>
                          </w:rPr>
                          <w:t>d</w:t>
                        </w:r>
                      </w:p>
                    </w:tc>
                  </w:tr>
                  <w:tr w:rsidR="00507B26" w:rsidRPr="003C18B5" w:rsidTr="00BA22AB">
                    <w:trPr>
                      <w:trHeight w:val="255"/>
                    </w:trPr>
                    <w:tc>
                      <w:tcPr>
                        <w:tcW w:w="1318" w:type="dxa"/>
                        <w:vAlign w:val="center"/>
                      </w:tcPr>
                      <w:p w:rsidR="00507B26" w:rsidRPr="003C18B5" w:rsidRDefault="0007707A" w:rsidP="00402D05">
                        <w:pPr>
                          <w:autoSpaceDE w:val="0"/>
                          <w:autoSpaceDN w:val="0"/>
                          <w:adjustRightInd w:val="0"/>
                          <w:spacing w:after="0"/>
                          <w:jc w:val="center"/>
                          <w:rPr>
                            <w:rFonts w:ascii="Arial" w:hAnsi="Arial" w:cs="Arial"/>
                            <w:b/>
                          </w:rPr>
                        </w:pPr>
                        <w:r w:rsidRPr="003C18B5">
                          <w:rPr>
                            <w:rFonts w:ascii="Arial" w:hAnsi="Arial" w:cs="Arial"/>
                            <w:b/>
                          </w:rPr>
                          <w:t>CQ(t)sm-</w:t>
                        </w:r>
                        <w:r w:rsidR="00874E8B" w:rsidRPr="003C18B5">
                          <w:rPr>
                            <w:rFonts w:ascii="Arial" w:hAnsi="Arial" w:cs="Arial"/>
                            <w:b/>
                          </w:rPr>
                          <w:t>e</w:t>
                        </w:r>
                      </w:p>
                    </w:tc>
                    <w:tc>
                      <w:tcPr>
                        <w:tcW w:w="815" w:type="dxa"/>
                        <w:vAlign w:val="center"/>
                      </w:tcPr>
                      <w:p w:rsidR="00507B26" w:rsidRPr="003C18B5" w:rsidRDefault="0007707A" w:rsidP="00402D05">
                        <w:pPr>
                          <w:autoSpaceDE w:val="0"/>
                          <w:autoSpaceDN w:val="0"/>
                          <w:adjustRightInd w:val="0"/>
                          <w:spacing w:after="0"/>
                          <w:jc w:val="center"/>
                          <w:rPr>
                            <w:rFonts w:ascii="Arial" w:hAnsi="Arial" w:cs="Arial"/>
                          </w:rPr>
                        </w:pPr>
                        <w:r w:rsidRPr="003C18B5">
                          <w:rPr>
                            <w:rFonts w:ascii="Arial" w:hAnsi="Arial" w:cs="Arial"/>
                          </w:rPr>
                          <w:t>N</w:t>
                        </w:r>
                      </w:p>
                    </w:tc>
                    <w:tc>
                      <w:tcPr>
                        <w:tcW w:w="795" w:type="dxa"/>
                        <w:vAlign w:val="center"/>
                      </w:tcPr>
                      <w:p w:rsidR="00507B26" w:rsidRPr="003C18B5" w:rsidRDefault="0007707A" w:rsidP="00402D05">
                        <w:pPr>
                          <w:autoSpaceDE w:val="0"/>
                          <w:autoSpaceDN w:val="0"/>
                          <w:adjustRightInd w:val="0"/>
                          <w:spacing w:after="0"/>
                          <w:jc w:val="center"/>
                          <w:rPr>
                            <w:rFonts w:ascii="Arial" w:hAnsi="Arial" w:cs="Arial"/>
                          </w:rPr>
                        </w:pPr>
                        <w:r w:rsidRPr="003C18B5">
                          <w:rPr>
                            <w:rFonts w:ascii="Arial" w:hAnsi="Arial" w:cs="Arial"/>
                          </w:rPr>
                          <w:t>H</w:t>
                        </w:r>
                      </w:p>
                    </w:tc>
                    <w:tc>
                      <w:tcPr>
                        <w:tcW w:w="1339" w:type="dxa"/>
                        <w:vAlign w:val="center"/>
                      </w:tcPr>
                      <w:p w:rsidR="00507B26" w:rsidRPr="003C18B5" w:rsidRDefault="0007707A" w:rsidP="00402D05">
                        <w:pPr>
                          <w:autoSpaceDE w:val="0"/>
                          <w:autoSpaceDN w:val="0"/>
                          <w:adjustRightInd w:val="0"/>
                          <w:spacing w:after="0"/>
                          <w:jc w:val="center"/>
                          <w:rPr>
                            <w:rFonts w:ascii="Arial" w:hAnsi="Arial" w:cs="Arial"/>
                            <w:b/>
                          </w:rPr>
                        </w:pPr>
                        <w:r w:rsidRPr="003C18B5">
                          <w:rPr>
                            <w:rFonts w:ascii="Arial" w:hAnsi="Arial" w:cs="Arial"/>
                            <w:b/>
                          </w:rPr>
                          <w:t>CQ(t)sm-</w:t>
                        </w:r>
                        <w:r w:rsidR="00874E8B" w:rsidRPr="003C18B5">
                          <w:rPr>
                            <w:rFonts w:ascii="Arial" w:hAnsi="Arial" w:cs="Arial"/>
                            <w:b/>
                          </w:rPr>
                          <w:t>f</w:t>
                        </w:r>
                      </w:p>
                    </w:tc>
                  </w:tr>
                  <w:tr w:rsidR="0007707A" w:rsidRPr="003C18B5" w:rsidTr="00BA22AB">
                    <w:trPr>
                      <w:trHeight w:val="255"/>
                    </w:trPr>
                    <w:tc>
                      <w:tcPr>
                        <w:tcW w:w="1318" w:type="dxa"/>
                        <w:vAlign w:val="center"/>
                      </w:tcPr>
                      <w:p w:rsidR="0007707A" w:rsidRPr="003C18B5" w:rsidRDefault="0007707A" w:rsidP="00402D05">
                        <w:pPr>
                          <w:autoSpaceDE w:val="0"/>
                          <w:autoSpaceDN w:val="0"/>
                          <w:adjustRightInd w:val="0"/>
                          <w:spacing w:after="0"/>
                          <w:jc w:val="center"/>
                          <w:rPr>
                            <w:rFonts w:ascii="Arial" w:hAnsi="Arial" w:cs="Arial"/>
                            <w:b/>
                          </w:rPr>
                        </w:pPr>
                        <w:r w:rsidRPr="003C18B5">
                          <w:rPr>
                            <w:rFonts w:ascii="Arial" w:hAnsi="Arial" w:cs="Arial"/>
                            <w:b/>
                          </w:rPr>
                          <w:t>CQ(t)sm-</w:t>
                        </w:r>
                        <w:r w:rsidR="00874E8B" w:rsidRPr="003C18B5">
                          <w:rPr>
                            <w:rFonts w:ascii="Arial" w:hAnsi="Arial" w:cs="Arial"/>
                            <w:b/>
                          </w:rPr>
                          <w:t>g</w:t>
                        </w:r>
                      </w:p>
                    </w:tc>
                    <w:tc>
                      <w:tcPr>
                        <w:tcW w:w="815" w:type="dxa"/>
                        <w:vAlign w:val="center"/>
                      </w:tcPr>
                      <w:p w:rsidR="0007707A" w:rsidRPr="003C18B5" w:rsidRDefault="0007707A" w:rsidP="00402D05">
                        <w:pPr>
                          <w:autoSpaceDE w:val="0"/>
                          <w:autoSpaceDN w:val="0"/>
                          <w:adjustRightInd w:val="0"/>
                          <w:spacing w:after="0"/>
                          <w:jc w:val="center"/>
                          <w:rPr>
                            <w:rFonts w:ascii="Arial" w:hAnsi="Arial" w:cs="Arial"/>
                          </w:rPr>
                        </w:pPr>
                        <w:r w:rsidRPr="003C18B5">
                          <w:rPr>
                            <w:rFonts w:ascii="Arial" w:hAnsi="Arial" w:cs="Arial"/>
                          </w:rPr>
                          <w:t>O</w:t>
                        </w:r>
                      </w:p>
                    </w:tc>
                    <w:tc>
                      <w:tcPr>
                        <w:tcW w:w="795" w:type="dxa"/>
                        <w:vAlign w:val="center"/>
                      </w:tcPr>
                      <w:p w:rsidR="0007707A" w:rsidRPr="003C18B5" w:rsidRDefault="0007707A" w:rsidP="00402D05">
                        <w:pPr>
                          <w:autoSpaceDE w:val="0"/>
                          <w:autoSpaceDN w:val="0"/>
                          <w:adjustRightInd w:val="0"/>
                          <w:spacing w:after="0"/>
                          <w:jc w:val="center"/>
                          <w:rPr>
                            <w:rFonts w:ascii="Arial" w:hAnsi="Arial" w:cs="Arial"/>
                          </w:rPr>
                        </w:pPr>
                        <w:r w:rsidRPr="003C18B5">
                          <w:rPr>
                            <w:rFonts w:ascii="Arial" w:hAnsi="Arial" w:cs="Arial"/>
                          </w:rPr>
                          <w:t>Ph</w:t>
                        </w:r>
                      </w:p>
                    </w:tc>
                    <w:tc>
                      <w:tcPr>
                        <w:tcW w:w="1339" w:type="dxa"/>
                        <w:vAlign w:val="center"/>
                      </w:tcPr>
                      <w:p w:rsidR="0007707A" w:rsidRPr="003C18B5" w:rsidRDefault="0007707A" w:rsidP="00402D05">
                        <w:pPr>
                          <w:autoSpaceDE w:val="0"/>
                          <w:autoSpaceDN w:val="0"/>
                          <w:adjustRightInd w:val="0"/>
                          <w:spacing w:after="0"/>
                          <w:jc w:val="center"/>
                          <w:rPr>
                            <w:rFonts w:ascii="Arial" w:hAnsi="Arial" w:cs="Arial"/>
                            <w:b/>
                          </w:rPr>
                        </w:pPr>
                        <w:r w:rsidRPr="003C18B5">
                          <w:rPr>
                            <w:rFonts w:ascii="Arial" w:hAnsi="Arial" w:cs="Arial"/>
                            <w:b/>
                          </w:rPr>
                          <w:t>CQ(t)sm-</w:t>
                        </w:r>
                        <w:r w:rsidR="00874E8B" w:rsidRPr="003C18B5">
                          <w:rPr>
                            <w:rFonts w:ascii="Arial" w:hAnsi="Arial" w:cs="Arial"/>
                            <w:b/>
                          </w:rPr>
                          <w:t>h</w:t>
                        </w:r>
                      </w:p>
                    </w:tc>
                  </w:tr>
                  <w:tr w:rsidR="0007707A" w:rsidRPr="003C18B5" w:rsidTr="00BA22AB">
                    <w:trPr>
                      <w:trHeight w:val="255"/>
                    </w:trPr>
                    <w:tc>
                      <w:tcPr>
                        <w:tcW w:w="1318" w:type="dxa"/>
                        <w:vAlign w:val="center"/>
                      </w:tcPr>
                      <w:p w:rsidR="0007707A" w:rsidRPr="003C18B5" w:rsidRDefault="0007707A" w:rsidP="00402D05">
                        <w:pPr>
                          <w:autoSpaceDE w:val="0"/>
                          <w:autoSpaceDN w:val="0"/>
                          <w:adjustRightInd w:val="0"/>
                          <w:spacing w:after="0"/>
                          <w:jc w:val="center"/>
                          <w:rPr>
                            <w:rFonts w:ascii="Arial" w:hAnsi="Arial" w:cs="Arial"/>
                            <w:b/>
                          </w:rPr>
                        </w:pPr>
                        <w:r w:rsidRPr="003C18B5">
                          <w:rPr>
                            <w:rFonts w:ascii="Arial" w:hAnsi="Arial" w:cs="Arial"/>
                            <w:b/>
                          </w:rPr>
                          <w:t>CQ(t)sm-</w:t>
                        </w:r>
                        <w:r w:rsidR="00874E8B" w:rsidRPr="003C18B5">
                          <w:rPr>
                            <w:rFonts w:ascii="Arial" w:hAnsi="Arial" w:cs="Arial"/>
                            <w:b/>
                          </w:rPr>
                          <w:t>i</w:t>
                        </w:r>
                      </w:p>
                    </w:tc>
                    <w:tc>
                      <w:tcPr>
                        <w:tcW w:w="815" w:type="dxa"/>
                        <w:vAlign w:val="center"/>
                      </w:tcPr>
                      <w:p w:rsidR="0007707A" w:rsidRPr="003C18B5" w:rsidRDefault="0007707A" w:rsidP="00402D05">
                        <w:pPr>
                          <w:autoSpaceDE w:val="0"/>
                          <w:autoSpaceDN w:val="0"/>
                          <w:adjustRightInd w:val="0"/>
                          <w:spacing w:after="0"/>
                          <w:jc w:val="center"/>
                          <w:rPr>
                            <w:rFonts w:ascii="Arial" w:hAnsi="Arial" w:cs="Arial"/>
                          </w:rPr>
                        </w:pPr>
                        <w:r w:rsidRPr="003C18B5">
                          <w:rPr>
                            <w:rFonts w:ascii="Arial" w:hAnsi="Arial" w:cs="Arial"/>
                          </w:rPr>
                          <w:t>S</w:t>
                        </w:r>
                      </w:p>
                    </w:tc>
                    <w:tc>
                      <w:tcPr>
                        <w:tcW w:w="795" w:type="dxa"/>
                        <w:vAlign w:val="center"/>
                      </w:tcPr>
                      <w:p w:rsidR="0007707A" w:rsidRPr="003C18B5" w:rsidRDefault="0007707A" w:rsidP="00402D05">
                        <w:pPr>
                          <w:autoSpaceDE w:val="0"/>
                          <w:autoSpaceDN w:val="0"/>
                          <w:adjustRightInd w:val="0"/>
                          <w:spacing w:after="0"/>
                          <w:jc w:val="center"/>
                          <w:rPr>
                            <w:rFonts w:ascii="Arial" w:hAnsi="Arial" w:cs="Arial"/>
                          </w:rPr>
                        </w:pPr>
                        <w:r w:rsidRPr="003C18B5">
                          <w:rPr>
                            <w:rFonts w:ascii="Arial" w:hAnsi="Arial" w:cs="Arial"/>
                          </w:rPr>
                          <w:t>Ph</w:t>
                        </w:r>
                      </w:p>
                    </w:tc>
                    <w:tc>
                      <w:tcPr>
                        <w:tcW w:w="1339" w:type="dxa"/>
                        <w:vAlign w:val="center"/>
                      </w:tcPr>
                      <w:p w:rsidR="0007707A" w:rsidRPr="003C18B5" w:rsidRDefault="0007707A" w:rsidP="00402D05">
                        <w:pPr>
                          <w:autoSpaceDE w:val="0"/>
                          <w:autoSpaceDN w:val="0"/>
                          <w:adjustRightInd w:val="0"/>
                          <w:spacing w:after="0"/>
                          <w:jc w:val="center"/>
                          <w:rPr>
                            <w:rFonts w:ascii="Arial" w:hAnsi="Arial" w:cs="Arial"/>
                            <w:b/>
                          </w:rPr>
                        </w:pPr>
                        <w:r w:rsidRPr="003C18B5">
                          <w:rPr>
                            <w:rFonts w:ascii="Arial" w:hAnsi="Arial" w:cs="Arial"/>
                            <w:b/>
                          </w:rPr>
                          <w:t>CQ(t)sm-</w:t>
                        </w:r>
                        <w:r w:rsidR="00874E8B" w:rsidRPr="003C18B5">
                          <w:rPr>
                            <w:rFonts w:ascii="Arial" w:hAnsi="Arial" w:cs="Arial"/>
                            <w:b/>
                          </w:rPr>
                          <w:t>j</w:t>
                        </w:r>
                      </w:p>
                    </w:tc>
                  </w:tr>
                  <w:tr w:rsidR="0007707A" w:rsidRPr="003C18B5" w:rsidTr="00BA22AB">
                    <w:trPr>
                      <w:trHeight w:val="255"/>
                    </w:trPr>
                    <w:tc>
                      <w:tcPr>
                        <w:tcW w:w="1318" w:type="dxa"/>
                        <w:vAlign w:val="center"/>
                      </w:tcPr>
                      <w:p w:rsidR="0007707A" w:rsidRPr="003C18B5" w:rsidRDefault="0007707A" w:rsidP="00402D05">
                        <w:pPr>
                          <w:autoSpaceDE w:val="0"/>
                          <w:autoSpaceDN w:val="0"/>
                          <w:adjustRightInd w:val="0"/>
                          <w:spacing w:after="0"/>
                          <w:jc w:val="center"/>
                          <w:rPr>
                            <w:rFonts w:ascii="Arial" w:hAnsi="Arial" w:cs="Arial"/>
                            <w:b/>
                          </w:rPr>
                        </w:pPr>
                        <w:r w:rsidRPr="003C18B5">
                          <w:rPr>
                            <w:rFonts w:ascii="Arial" w:hAnsi="Arial" w:cs="Arial"/>
                            <w:b/>
                          </w:rPr>
                          <w:t>CQ(t)sm-</w:t>
                        </w:r>
                        <w:r w:rsidR="00874E8B" w:rsidRPr="003C18B5">
                          <w:rPr>
                            <w:rFonts w:ascii="Arial" w:hAnsi="Arial" w:cs="Arial"/>
                            <w:b/>
                          </w:rPr>
                          <w:t>k</w:t>
                        </w:r>
                      </w:p>
                    </w:tc>
                    <w:tc>
                      <w:tcPr>
                        <w:tcW w:w="815" w:type="dxa"/>
                        <w:vAlign w:val="center"/>
                      </w:tcPr>
                      <w:p w:rsidR="0007707A" w:rsidRPr="003C18B5" w:rsidRDefault="0007707A" w:rsidP="00402D05">
                        <w:pPr>
                          <w:autoSpaceDE w:val="0"/>
                          <w:autoSpaceDN w:val="0"/>
                          <w:adjustRightInd w:val="0"/>
                          <w:spacing w:after="0"/>
                          <w:jc w:val="center"/>
                          <w:rPr>
                            <w:rFonts w:ascii="Arial" w:hAnsi="Arial" w:cs="Arial"/>
                          </w:rPr>
                        </w:pPr>
                        <w:r w:rsidRPr="003C18B5">
                          <w:rPr>
                            <w:rFonts w:ascii="Arial" w:hAnsi="Arial" w:cs="Arial"/>
                          </w:rPr>
                          <w:t>N</w:t>
                        </w:r>
                      </w:p>
                    </w:tc>
                    <w:tc>
                      <w:tcPr>
                        <w:tcW w:w="795" w:type="dxa"/>
                        <w:vAlign w:val="center"/>
                      </w:tcPr>
                      <w:p w:rsidR="0007707A" w:rsidRPr="003C18B5" w:rsidRDefault="0007707A" w:rsidP="00402D05">
                        <w:pPr>
                          <w:autoSpaceDE w:val="0"/>
                          <w:autoSpaceDN w:val="0"/>
                          <w:adjustRightInd w:val="0"/>
                          <w:spacing w:after="0"/>
                          <w:jc w:val="center"/>
                          <w:rPr>
                            <w:rFonts w:ascii="Arial" w:hAnsi="Arial" w:cs="Arial"/>
                          </w:rPr>
                        </w:pPr>
                        <w:r w:rsidRPr="003C18B5">
                          <w:rPr>
                            <w:rFonts w:ascii="Arial" w:hAnsi="Arial" w:cs="Arial"/>
                          </w:rPr>
                          <w:t>Ph</w:t>
                        </w:r>
                      </w:p>
                    </w:tc>
                    <w:tc>
                      <w:tcPr>
                        <w:tcW w:w="1339" w:type="dxa"/>
                        <w:vAlign w:val="center"/>
                      </w:tcPr>
                      <w:p w:rsidR="0007707A" w:rsidRPr="003C18B5" w:rsidRDefault="0007707A" w:rsidP="00402D05">
                        <w:pPr>
                          <w:autoSpaceDE w:val="0"/>
                          <w:autoSpaceDN w:val="0"/>
                          <w:adjustRightInd w:val="0"/>
                          <w:spacing w:after="0"/>
                          <w:jc w:val="center"/>
                          <w:rPr>
                            <w:rFonts w:ascii="Arial" w:hAnsi="Arial" w:cs="Arial"/>
                            <w:b/>
                          </w:rPr>
                        </w:pPr>
                        <w:r w:rsidRPr="003C18B5">
                          <w:rPr>
                            <w:rFonts w:ascii="Arial" w:hAnsi="Arial" w:cs="Arial"/>
                            <w:b/>
                          </w:rPr>
                          <w:t>CQ(t)sm-</w:t>
                        </w:r>
                        <w:r w:rsidR="00874E8B" w:rsidRPr="003C18B5">
                          <w:rPr>
                            <w:rFonts w:ascii="Arial" w:hAnsi="Arial" w:cs="Arial"/>
                            <w:b/>
                          </w:rPr>
                          <w:t>l</w:t>
                        </w:r>
                      </w:p>
                    </w:tc>
                  </w:tr>
                </w:tbl>
                <w:p w:rsidR="00BA22AB" w:rsidRPr="003C18B5" w:rsidRDefault="00BA22AB" w:rsidP="00BA22AB">
                  <w:pPr>
                    <w:autoSpaceDE w:val="0"/>
                    <w:autoSpaceDN w:val="0"/>
                    <w:adjustRightInd w:val="0"/>
                    <w:spacing w:after="240"/>
                    <w:jc w:val="center"/>
                    <w:rPr>
                      <w:rFonts w:ascii="Arial" w:hAnsi="Arial" w:cs="Arial"/>
                    </w:rPr>
                  </w:pPr>
                </w:p>
              </w:tc>
            </w:tr>
            <w:tr w:rsidR="00BA22AB" w:rsidRPr="003C18B5" w:rsidTr="00412324">
              <w:trPr>
                <w:trHeight w:val="785"/>
                <w:jc w:val="center"/>
              </w:trPr>
              <w:tc>
                <w:tcPr>
                  <w:tcW w:w="9380" w:type="dxa"/>
                  <w:vAlign w:val="center"/>
                </w:tcPr>
                <w:p w:rsidR="00BA22AB" w:rsidRPr="003C18B5" w:rsidRDefault="00BA22AB" w:rsidP="00C80606">
                  <w:pPr>
                    <w:autoSpaceDE w:val="0"/>
                    <w:autoSpaceDN w:val="0"/>
                    <w:adjustRightInd w:val="0"/>
                    <w:spacing w:before="120" w:after="240"/>
                    <w:jc w:val="center"/>
                    <w:rPr>
                      <w:rFonts w:ascii="Arial" w:hAnsi="Arial" w:cs="Arial"/>
                    </w:rPr>
                  </w:pPr>
                  <w:r w:rsidRPr="003C18B5">
                    <w:rPr>
                      <w:rFonts w:ascii="Arial" w:hAnsi="Arial" w:cs="Arial"/>
                      <w:b/>
                    </w:rPr>
                    <w:t xml:space="preserve">Figura </w:t>
                  </w:r>
                  <w:r w:rsidR="00E853A8" w:rsidRPr="003C18B5">
                    <w:rPr>
                      <w:rFonts w:ascii="Arial" w:hAnsi="Arial" w:cs="Arial"/>
                      <w:b/>
                    </w:rPr>
                    <w:t>3</w:t>
                  </w:r>
                  <w:r w:rsidRPr="003C18B5">
                    <w:rPr>
                      <w:rFonts w:ascii="Arial" w:hAnsi="Arial" w:cs="Arial"/>
                      <w:b/>
                    </w:rPr>
                    <w:t>.</w:t>
                  </w:r>
                  <w:r w:rsidRPr="003C18B5">
                    <w:rPr>
                      <w:rFonts w:ascii="Arial" w:hAnsi="Arial" w:cs="Arial"/>
                    </w:rPr>
                    <w:t xml:space="preserve"> Diseño estructural propuesto para las molécul</w:t>
                  </w:r>
                  <w:r w:rsidR="00B3016B" w:rsidRPr="003C18B5">
                    <w:rPr>
                      <w:rFonts w:ascii="Arial" w:hAnsi="Arial" w:cs="Arial"/>
                    </w:rPr>
                    <w:t>as derivadas de semicarbazonas,</w:t>
                  </w:r>
                  <w:r w:rsidRPr="003C18B5">
                    <w:rPr>
                      <w:rFonts w:ascii="Arial" w:hAnsi="Arial" w:cs="Arial"/>
                    </w:rPr>
                    <w:t xml:space="preserve"> tiosemicarbazonas</w:t>
                  </w:r>
                  <w:r w:rsidR="00B3016B" w:rsidRPr="003C18B5">
                    <w:rPr>
                      <w:rFonts w:ascii="Arial" w:hAnsi="Arial" w:cs="Arial"/>
                    </w:rPr>
                    <w:t xml:space="preserve"> y carboximidamida</w:t>
                  </w:r>
                  <w:r w:rsidR="00D56650" w:rsidRPr="003C18B5">
                    <w:rPr>
                      <w:rFonts w:ascii="Arial" w:hAnsi="Arial" w:cs="Arial"/>
                    </w:rPr>
                    <w:t>s</w:t>
                  </w:r>
                  <w:r w:rsidRPr="003C18B5">
                    <w:rPr>
                      <w:rFonts w:ascii="Arial" w:hAnsi="Arial" w:cs="Arial"/>
                    </w:rPr>
                    <w:t xml:space="preserve"> de origen quinolínico.</w:t>
                  </w:r>
                </w:p>
              </w:tc>
            </w:tr>
          </w:tbl>
          <w:p w:rsidR="008F3B2C" w:rsidRPr="00C319FE" w:rsidRDefault="00AA08CB" w:rsidP="00D27E1E">
            <w:pPr>
              <w:pStyle w:val="Prrafodelista"/>
              <w:numPr>
                <w:ilvl w:val="0"/>
                <w:numId w:val="8"/>
              </w:numPr>
              <w:tabs>
                <w:tab w:val="left" w:pos="851"/>
              </w:tabs>
              <w:autoSpaceDE w:val="0"/>
              <w:autoSpaceDN w:val="0"/>
              <w:adjustRightInd w:val="0"/>
              <w:spacing w:after="240"/>
              <w:ind w:left="714" w:hanging="147"/>
              <w:contextualSpacing w:val="0"/>
              <w:rPr>
                <w:rFonts w:ascii="Arial" w:hAnsi="Arial" w:cs="Arial"/>
                <w:b/>
                <w:lang w:val="es-VE"/>
              </w:rPr>
            </w:pPr>
            <w:r w:rsidRPr="00C319FE">
              <w:rPr>
                <w:rFonts w:ascii="Arial" w:hAnsi="Arial" w:cs="Arial"/>
                <w:b/>
                <w:lang w:val="es-VE"/>
              </w:rPr>
              <w:lastRenderedPageBreak/>
              <w:t xml:space="preserve">Síntesis y purificación de </w:t>
            </w:r>
            <w:r w:rsidR="00B3016B" w:rsidRPr="00C319FE">
              <w:rPr>
                <w:rFonts w:ascii="Arial" w:hAnsi="Arial" w:cs="Arial"/>
                <w:b/>
                <w:lang w:val="es-VE"/>
              </w:rPr>
              <w:t>Semicarbazonas,</w:t>
            </w:r>
            <w:r w:rsidRPr="00C319FE">
              <w:rPr>
                <w:rFonts w:ascii="Arial" w:hAnsi="Arial" w:cs="Arial"/>
                <w:b/>
                <w:lang w:val="es-VE"/>
              </w:rPr>
              <w:t xml:space="preserve"> Tiosemicarbazonas</w:t>
            </w:r>
            <w:r w:rsidR="00B3016B" w:rsidRPr="00C319FE">
              <w:rPr>
                <w:rFonts w:ascii="Arial" w:hAnsi="Arial" w:cs="Arial"/>
                <w:b/>
                <w:lang w:val="es-VE"/>
              </w:rPr>
              <w:t xml:space="preserve"> y </w:t>
            </w:r>
            <w:r w:rsidR="00B3016B" w:rsidRPr="00C319FE">
              <w:rPr>
                <w:rFonts w:ascii="Arial" w:hAnsi="Arial" w:cs="Arial"/>
                <w:b/>
              </w:rPr>
              <w:t>carboximidamida</w:t>
            </w:r>
            <w:r w:rsidR="00D56650" w:rsidRPr="00C319FE">
              <w:rPr>
                <w:rFonts w:ascii="Arial" w:hAnsi="Arial" w:cs="Arial"/>
                <w:b/>
              </w:rPr>
              <w:t>s</w:t>
            </w:r>
            <w:r w:rsidRPr="00C319FE">
              <w:rPr>
                <w:rFonts w:ascii="Arial" w:hAnsi="Arial" w:cs="Arial"/>
                <w:b/>
                <w:lang w:val="es-VE"/>
              </w:rPr>
              <w:t xml:space="preserve"> de Origen Quinolínico.</w:t>
            </w:r>
          </w:p>
          <w:p w:rsidR="00EB561D" w:rsidRPr="003C18B5" w:rsidRDefault="00EB561D" w:rsidP="00D27E1E">
            <w:pPr>
              <w:pStyle w:val="Prrafodelista"/>
              <w:numPr>
                <w:ilvl w:val="1"/>
                <w:numId w:val="9"/>
              </w:numPr>
              <w:tabs>
                <w:tab w:val="left" w:pos="851"/>
                <w:tab w:val="left" w:pos="993"/>
              </w:tabs>
              <w:autoSpaceDE w:val="0"/>
              <w:autoSpaceDN w:val="0"/>
              <w:adjustRightInd w:val="0"/>
              <w:spacing w:before="120" w:after="120" w:line="360" w:lineRule="auto"/>
              <w:ind w:left="714" w:hanging="147"/>
              <w:contextualSpacing w:val="0"/>
              <w:rPr>
                <w:rFonts w:ascii="Arial" w:hAnsi="Arial" w:cs="Arial"/>
                <w:lang w:val="es-VE"/>
              </w:rPr>
            </w:pPr>
            <w:r w:rsidRPr="003C18B5">
              <w:rPr>
                <w:rFonts w:ascii="Arial" w:hAnsi="Arial" w:cs="Arial"/>
                <w:lang w:val="es-VE"/>
              </w:rPr>
              <w:t xml:space="preserve">Síntesis y </w:t>
            </w:r>
            <w:r w:rsidR="00D23307" w:rsidRPr="003C18B5">
              <w:rPr>
                <w:rFonts w:ascii="Arial" w:hAnsi="Arial" w:cs="Arial"/>
                <w:lang w:val="es-VE"/>
              </w:rPr>
              <w:t>purificación</w:t>
            </w:r>
            <w:r w:rsidRPr="003C18B5">
              <w:rPr>
                <w:rFonts w:ascii="Arial" w:hAnsi="Arial" w:cs="Arial"/>
                <w:lang w:val="es-VE"/>
              </w:rPr>
              <w:t xml:space="preserve"> de los intermediarios (</w:t>
            </w:r>
            <w:r w:rsidRPr="003C18B5">
              <w:rPr>
                <w:rFonts w:ascii="Arial" w:hAnsi="Arial" w:cs="Arial"/>
                <w:b/>
                <w:lang w:val="es-VE"/>
              </w:rPr>
              <w:t>10</w:t>
            </w:r>
            <w:r w:rsidRPr="003C18B5">
              <w:rPr>
                <w:rFonts w:ascii="Arial" w:hAnsi="Arial" w:cs="Arial"/>
                <w:lang w:val="es-VE"/>
              </w:rPr>
              <w:t xml:space="preserve"> y </w:t>
            </w:r>
            <w:r w:rsidRPr="003C18B5">
              <w:rPr>
                <w:rFonts w:ascii="Arial" w:hAnsi="Arial" w:cs="Arial"/>
                <w:b/>
                <w:lang w:val="es-VE"/>
              </w:rPr>
              <w:t>11</w:t>
            </w:r>
            <w:r w:rsidRPr="003C18B5">
              <w:rPr>
                <w:rFonts w:ascii="Arial" w:hAnsi="Arial" w:cs="Arial"/>
                <w:lang w:val="es-VE"/>
              </w:rPr>
              <w:t>)</w:t>
            </w:r>
          </w:p>
          <w:p w:rsidR="00EB561D" w:rsidRPr="003C18B5" w:rsidRDefault="00EB561D" w:rsidP="00D27E1E">
            <w:pPr>
              <w:autoSpaceDE w:val="0"/>
              <w:autoSpaceDN w:val="0"/>
              <w:adjustRightInd w:val="0"/>
              <w:spacing w:before="240" w:after="240"/>
              <w:ind w:firstLine="567"/>
              <w:rPr>
                <w:rFonts w:ascii="Arial" w:hAnsi="Arial" w:cs="Arial"/>
                <w:lang w:val="es-VE"/>
              </w:rPr>
            </w:pPr>
            <w:r w:rsidRPr="003C18B5">
              <w:rPr>
                <w:rFonts w:ascii="Arial" w:hAnsi="Arial" w:cs="Arial"/>
                <w:lang w:val="es-VE"/>
              </w:rPr>
              <w:t>La síntesis de los intermediarios se llev</w:t>
            </w:r>
            <w:r w:rsidR="00E12B1D" w:rsidRPr="003C18B5">
              <w:rPr>
                <w:rFonts w:ascii="Arial" w:hAnsi="Arial" w:cs="Arial"/>
                <w:lang w:val="es-VE"/>
              </w:rPr>
              <w:t>ará</w:t>
            </w:r>
            <w:r w:rsidRPr="003C18B5">
              <w:rPr>
                <w:rFonts w:ascii="Arial" w:hAnsi="Arial" w:cs="Arial"/>
                <w:lang w:val="es-VE"/>
              </w:rPr>
              <w:t xml:space="preserve"> a cabo partiendo de productos disponibles comercialmente y mediante una modificación del método descrito</w:t>
            </w:r>
            <w:r w:rsidR="00E12B1D" w:rsidRPr="003C18B5">
              <w:rPr>
                <w:rFonts w:ascii="Arial" w:hAnsi="Arial" w:cs="Arial"/>
                <w:lang w:val="es-VE"/>
              </w:rPr>
              <w:t xml:space="preserve"> por </w:t>
            </w:r>
            <w:r w:rsidR="00E12B1D" w:rsidRPr="003C18B5">
              <w:rPr>
                <w:rFonts w:ascii="Arial" w:hAnsi="Arial" w:cs="Arial"/>
                <w:lang w:val="es-VE"/>
              </w:rPr>
              <w:fldChar w:fldCharType="begin" w:fldLock="1"/>
            </w:r>
            <w:r w:rsidR="00E12B1D" w:rsidRPr="003C18B5">
              <w:rPr>
                <w:rFonts w:ascii="Arial" w:hAnsi="Arial" w:cs="Arial"/>
                <w:lang w:val="es-VE"/>
              </w:rPr>
              <w:instrText>ADDIN CSL_CITATION { "citationItems" : [ { "id" : "ITEM-1", "itemData" : { "DOI" : "10.3797/scipharm.0905-07", "ISSN" : "00368709", "abstract" : "[(7-Chloroquinolin-4-yl)amino]chalcone derivs. derived from the corresponding 3-or 4-[(7-chloroquinolin-4-yl)amino]acetophenone were synthesized and evaluated for in vitro antimalarial and anticancer activity.  The most active compds. I (R = 4-NMe2, 4-Cl, 2-Cl, 3-F, H) from the 3-substituted series displayed inhibitory values against heme crystn. in the range of 93.14\u00b11.74 - 94.93\u00b11.50% as an antimalarial mechanism.  Compds. I (R = 4-Cl, 3-F, H) had a cytotoxic effect against human prostate LNCaP tumor cells with IC50 values of 7.93\u00b12.05, 7.11\u00b12.06 and 6.95\u00b11.62 \u03bcg/mL, resp. [on SciFinder(R)]", "author" : [ { "dropping-particle" : "", "family" : "Ferrer", "given" : "Rosa", "non-dropping-particle" : "", "parse-names" : false, "suffix" : "" }, { "dropping-particle" : "", "family" : "Lobo", "given" : "Gricela", "non-dropping-particle" : "", "parse-names" : false, "suffix" : "" }, { "dropping-particle" : "", "family" : "Gamboa", "given" : "Neira", "non-dropping-particle" : "", "parse-names" : false, "suffix" : "" }, { "dropping-particle" : "", "family" : "Rodrigues", "given" : "Juan", "non-dropping-particle" : "", "parse-names" : false, "suffix" : "" }, { "dropping-particle" : "", "family" : "Abramjuk", "given" : "Claudia", "non-dropping-particle" : "", "parse-names" : false, "suffix" : "" }, { "dropping-particle" : "", "family" : "Jung", "given" : "Klaus", "non-dropping-particle" : "", "parse-names" : false, "suffix" : "" }, { "dropping-particle" : "", "family" : "Lein", "given" : "Michael", "non-dropping-particle" : "", "parse-names" : false, "suffix" : "" }, { "dropping-particle" : "", "family" : "Charris", "given" : "Jaime E.", "non-dropping-particle" : "", "parse-names" : false, "suffix" : "" } ], "container-title" : "Scientia Pharmaceutica", "id" : "ITEM-1", "issue" : "4", "issued" : { "date-parts" : [ [ "2009" ] ] }, "page" : "725-741", "title" : "Synthesis of [(7-chloroquinolin-4-yl)amino]chalcones: Potential antimalarial and anticancer agents", "type" : "article-journal", "volume" : "77" }, "uris" : [ "http://www.mendeley.com/documents/?uuid=e9a63116-39ed-4331-ae5c-df4b84734cd7" ] } ], "mendeley" : { "formattedCitation" : "(Ferrer et al., 2009)", "manualFormatting" : "Ferrer et al., (2009)", "plainTextFormattedCitation" : "(Ferrer et al., 2009)", "previouslyFormattedCitation" : "(Ferrer et al., 2009)" }, "properties" : {  }, "schema" : "https://github.com/citation-style-language/schema/raw/master/csl-citation.json" }</w:instrText>
            </w:r>
            <w:r w:rsidR="00E12B1D" w:rsidRPr="003C18B5">
              <w:rPr>
                <w:rFonts w:ascii="Arial" w:hAnsi="Arial" w:cs="Arial"/>
                <w:lang w:val="es-VE"/>
              </w:rPr>
              <w:fldChar w:fldCharType="separate"/>
            </w:r>
            <w:r w:rsidR="00E12B1D" w:rsidRPr="003C18B5">
              <w:rPr>
                <w:rFonts w:ascii="Arial" w:hAnsi="Arial" w:cs="Arial"/>
                <w:noProof/>
                <w:lang w:val="es-VE"/>
              </w:rPr>
              <w:t>Ferrer et al., (2009)</w:t>
            </w:r>
            <w:r w:rsidR="00E12B1D" w:rsidRPr="003C18B5">
              <w:rPr>
                <w:rFonts w:ascii="Arial" w:hAnsi="Arial" w:cs="Arial"/>
                <w:lang w:val="es-VE"/>
              </w:rPr>
              <w:fldChar w:fldCharType="end"/>
            </w:r>
            <w:r w:rsidRPr="003C18B5">
              <w:rPr>
                <w:rFonts w:ascii="Arial" w:hAnsi="Arial" w:cs="Arial"/>
                <w:lang w:val="es-VE"/>
              </w:rPr>
              <w:t>, según se detalla a continuación.</w:t>
            </w:r>
            <w:r w:rsidR="003A3AF5" w:rsidRPr="003C18B5">
              <w:rPr>
                <w:rFonts w:ascii="Arial" w:hAnsi="Arial" w:cs="Arial"/>
                <w:lang w:val="es-VE"/>
              </w:rPr>
              <w:t xml:space="preserve"> Sin embargo, se ensayarán otros métodos de síntesis con enfoque verde.</w:t>
            </w:r>
          </w:p>
          <w:p w:rsidR="0044590D" w:rsidRPr="003C18B5" w:rsidRDefault="0044590D" w:rsidP="00D27E1E">
            <w:pPr>
              <w:pStyle w:val="Prrafodelista"/>
              <w:numPr>
                <w:ilvl w:val="2"/>
                <w:numId w:val="9"/>
              </w:numPr>
              <w:autoSpaceDE w:val="0"/>
              <w:autoSpaceDN w:val="0"/>
              <w:adjustRightInd w:val="0"/>
              <w:spacing w:before="240" w:after="240" w:line="360" w:lineRule="auto"/>
              <w:ind w:left="1134" w:hanging="567"/>
              <w:contextualSpacing w:val="0"/>
              <w:jc w:val="left"/>
              <w:rPr>
                <w:rFonts w:ascii="Arial" w:hAnsi="Arial" w:cs="Arial"/>
                <w:lang w:val="es-VE" w:eastAsia="es-VE"/>
              </w:rPr>
            </w:pPr>
            <w:r w:rsidRPr="003C18B5">
              <w:rPr>
                <w:rFonts w:ascii="Arial" w:hAnsi="Arial" w:cs="Arial"/>
                <w:lang w:val="es-VE"/>
              </w:rPr>
              <w:t xml:space="preserve">Síntesis de </w:t>
            </w:r>
            <w:r w:rsidRPr="003C18B5">
              <w:rPr>
                <w:rFonts w:ascii="Arial" w:hAnsi="Arial" w:cs="Arial"/>
                <w:lang w:val="es-VE" w:eastAsia="es-VE"/>
              </w:rPr>
              <w:t>[(7-cloroquinolin-4-il)amino]acetofenonas (</w:t>
            </w:r>
            <w:r w:rsidRPr="003C18B5">
              <w:rPr>
                <w:rFonts w:ascii="Arial" w:hAnsi="Arial" w:cs="Arial"/>
                <w:b/>
                <w:lang w:val="es-VE"/>
              </w:rPr>
              <w:t>10</w:t>
            </w:r>
            <w:r w:rsidRPr="003C18B5">
              <w:rPr>
                <w:rFonts w:ascii="Arial" w:hAnsi="Arial" w:cs="Arial"/>
                <w:lang w:val="es-VE"/>
              </w:rPr>
              <w:t xml:space="preserve"> y </w:t>
            </w:r>
            <w:r w:rsidRPr="003C18B5">
              <w:rPr>
                <w:rFonts w:ascii="Arial" w:hAnsi="Arial" w:cs="Arial"/>
                <w:b/>
                <w:lang w:val="es-VE"/>
              </w:rPr>
              <w:t>11</w:t>
            </w:r>
            <w:r w:rsidRPr="003C18B5">
              <w:rPr>
                <w:rFonts w:ascii="Arial" w:hAnsi="Arial" w:cs="Arial"/>
                <w:lang w:val="es-VE" w:eastAsia="es-VE"/>
              </w:rPr>
              <w:t>)</w:t>
            </w:r>
          </w:p>
          <w:p w:rsidR="00AB1A4F" w:rsidRPr="003C18B5" w:rsidRDefault="0044590D" w:rsidP="00D27E1E">
            <w:pPr>
              <w:autoSpaceDE w:val="0"/>
              <w:autoSpaceDN w:val="0"/>
              <w:adjustRightInd w:val="0"/>
              <w:spacing w:before="240" w:after="240"/>
              <w:ind w:firstLine="567"/>
              <w:rPr>
                <w:rFonts w:ascii="Arial" w:hAnsi="Arial" w:cs="Arial"/>
              </w:rPr>
            </w:pPr>
            <w:r w:rsidRPr="003C18B5">
              <w:rPr>
                <w:rFonts w:ascii="Arial" w:hAnsi="Arial" w:cs="Arial"/>
              </w:rPr>
              <w:t>En un balón de reacción, provisto de un sistema de agitación y calentamiento, se preparará una mezcla en una relación molar 1:1 de los reactivos, disolviendo 0,5g (2,5mmol) de 4,7-dicloro-quinolina (</w:t>
            </w:r>
            <w:r w:rsidRPr="003C18B5">
              <w:rPr>
                <w:rFonts w:ascii="Arial" w:hAnsi="Arial" w:cs="Arial"/>
                <w:b/>
              </w:rPr>
              <w:t>7</w:t>
            </w:r>
            <w:r w:rsidRPr="003C18B5">
              <w:rPr>
                <w:rFonts w:ascii="Arial" w:hAnsi="Arial" w:cs="Arial"/>
              </w:rPr>
              <w:t>) en etanol seco (25 mL) para luego añadir 0,37g (2,75mmol) de la 4- o 3-aminoacetofenona (</w:t>
            </w:r>
            <w:r w:rsidRPr="003C18B5">
              <w:rPr>
                <w:rFonts w:ascii="Arial" w:hAnsi="Arial" w:cs="Arial"/>
                <w:b/>
              </w:rPr>
              <w:t>8</w:t>
            </w:r>
            <w:r w:rsidRPr="003C18B5">
              <w:rPr>
                <w:rFonts w:ascii="Arial" w:hAnsi="Arial" w:cs="Arial"/>
              </w:rPr>
              <w:t xml:space="preserve"> o </w:t>
            </w:r>
            <w:r w:rsidRPr="003C18B5">
              <w:rPr>
                <w:rFonts w:ascii="Arial" w:hAnsi="Arial" w:cs="Arial"/>
                <w:b/>
              </w:rPr>
              <w:t>9</w:t>
            </w:r>
            <w:r w:rsidRPr="003C18B5">
              <w:rPr>
                <w:rFonts w:ascii="Arial" w:hAnsi="Arial" w:cs="Arial"/>
              </w:rPr>
              <w:t>), sometiendo la mezcla a calentamiento en reflujo (80-85°C) durante 9 horas, manteniendo agitación constante y monitoreando el transcurso de la reacción por TLC. El sólido obtenido se filtr</w:t>
            </w:r>
            <w:r w:rsidR="00AB1A4F" w:rsidRPr="003C18B5">
              <w:rPr>
                <w:rFonts w:ascii="Arial" w:hAnsi="Arial" w:cs="Arial"/>
              </w:rPr>
              <w:t>ará, se lavará</w:t>
            </w:r>
            <w:r w:rsidRPr="003C18B5">
              <w:rPr>
                <w:rFonts w:ascii="Arial" w:hAnsi="Arial" w:cs="Arial"/>
              </w:rPr>
              <w:t xml:space="preserve"> con etanol y éter dietílico y se recristaliz</w:t>
            </w:r>
            <w:r w:rsidR="00AB1A4F" w:rsidRPr="003C18B5">
              <w:rPr>
                <w:rFonts w:ascii="Arial" w:hAnsi="Arial" w:cs="Arial"/>
              </w:rPr>
              <w:t>ará</w:t>
            </w:r>
            <w:r w:rsidRPr="003C18B5">
              <w:rPr>
                <w:rFonts w:ascii="Arial" w:hAnsi="Arial" w:cs="Arial"/>
              </w:rPr>
              <w:t xml:space="preserve"> a partir de una mezcla de etanol-metanol (2:1). Un esquema de esta síntesis se mues</w:t>
            </w:r>
            <w:r w:rsidR="00AB1A4F" w:rsidRPr="003C18B5">
              <w:rPr>
                <w:rFonts w:ascii="Arial" w:hAnsi="Arial" w:cs="Arial"/>
              </w:rPr>
              <w:t>tra en la figura 4.</w:t>
            </w:r>
          </w:p>
          <w:tbl>
            <w:tblPr>
              <w:tblW w:w="0" w:type="auto"/>
              <w:jc w:val="center"/>
              <w:tblLook w:val="04A0"/>
            </w:tblPr>
            <w:tblGrid>
              <w:gridCol w:w="9390"/>
            </w:tblGrid>
            <w:tr w:rsidR="0044590D" w:rsidRPr="003C18B5" w:rsidTr="00251EE6">
              <w:trPr>
                <w:trHeight w:val="2290"/>
                <w:jc w:val="center"/>
              </w:trPr>
              <w:tc>
                <w:tcPr>
                  <w:tcW w:w="9545" w:type="dxa"/>
                </w:tcPr>
                <w:p w:rsidR="0044590D" w:rsidRPr="003C18B5" w:rsidRDefault="004511C1" w:rsidP="00251EE6">
                  <w:pPr>
                    <w:spacing w:before="240" w:after="240"/>
                    <w:jc w:val="center"/>
                    <w:rPr>
                      <w:rFonts w:ascii="Arial" w:hAnsi="Arial" w:cs="Arial"/>
                      <w:lang w:val="es-VE"/>
                    </w:rPr>
                  </w:pPr>
                  <w:r w:rsidRPr="003C18B5">
                    <w:rPr>
                      <w:rFonts w:ascii="Arial" w:hAnsi="Arial" w:cs="Arial"/>
                    </w:rPr>
                    <w:object w:dxaOrig="9675" w:dyaOrig="2955">
                      <v:shape id="_x0000_i1026" type="#_x0000_t75" style="width:411.9pt;height:126pt" o:ole="">
                        <v:imagedata r:id="rId37" o:title=""/>
                      </v:shape>
                      <o:OLEObject Type="Embed" ProgID="ACD.ChemSketch.20" ShapeID="_x0000_i1026" DrawAspect="Content" ObjectID="_1574214146" r:id="rId38"/>
                    </w:object>
                  </w:r>
                </w:p>
              </w:tc>
            </w:tr>
            <w:tr w:rsidR="0044590D" w:rsidRPr="003C18B5" w:rsidTr="00251EE6">
              <w:trPr>
                <w:trHeight w:val="427"/>
                <w:jc w:val="center"/>
              </w:trPr>
              <w:tc>
                <w:tcPr>
                  <w:tcW w:w="9545" w:type="dxa"/>
                </w:tcPr>
                <w:p w:rsidR="0044590D" w:rsidRPr="003C18B5" w:rsidRDefault="0044590D" w:rsidP="004511C1">
                  <w:pPr>
                    <w:autoSpaceDE w:val="0"/>
                    <w:autoSpaceDN w:val="0"/>
                    <w:adjustRightInd w:val="0"/>
                    <w:spacing w:after="120" w:line="360" w:lineRule="auto"/>
                    <w:jc w:val="center"/>
                    <w:rPr>
                      <w:rFonts w:ascii="Arial" w:hAnsi="Arial" w:cs="Arial"/>
                      <w:bCs/>
                    </w:rPr>
                  </w:pPr>
                  <w:r w:rsidRPr="003C18B5">
                    <w:rPr>
                      <w:rFonts w:ascii="Arial" w:hAnsi="Arial" w:cs="Arial"/>
                      <w:bCs/>
                    </w:rPr>
                    <w:t>Condiciones:</w:t>
                  </w:r>
                  <w:r w:rsidRPr="003C18B5">
                    <w:rPr>
                      <w:rFonts w:ascii="Arial" w:hAnsi="Arial" w:cs="Arial"/>
                      <w:b/>
                      <w:bCs/>
                    </w:rPr>
                    <w:t xml:space="preserve"> a) </w:t>
                  </w:r>
                  <w:r w:rsidRPr="003C18B5">
                    <w:rPr>
                      <w:rFonts w:ascii="Arial" w:hAnsi="Arial" w:cs="Arial"/>
                      <w:bCs/>
                    </w:rPr>
                    <w:t>Reflujo en</w:t>
                  </w:r>
                  <w:r w:rsidRPr="003C18B5">
                    <w:rPr>
                      <w:rFonts w:ascii="Arial" w:hAnsi="Arial" w:cs="Arial"/>
                      <w:b/>
                      <w:bCs/>
                    </w:rPr>
                    <w:t xml:space="preserve"> </w:t>
                  </w:r>
                  <w:r w:rsidRPr="003C18B5">
                    <w:rPr>
                      <w:rFonts w:ascii="Arial" w:hAnsi="Arial" w:cs="Arial"/>
                      <w:bCs/>
                    </w:rPr>
                    <w:t>EtOH seco a 80-85°C por 9h</w:t>
                  </w:r>
                </w:p>
              </w:tc>
            </w:tr>
            <w:tr w:rsidR="0044590D" w:rsidRPr="003C18B5" w:rsidTr="00251EE6">
              <w:trPr>
                <w:jc w:val="center"/>
              </w:trPr>
              <w:tc>
                <w:tcPr>
                  <w:tcW w:w="9545" w:type="dxa"/>
                </w:tcPr>
                <w:p w:rsidR="0044590D" w:rsidRPr="003C18B5" w:rsidRDefault="0044590D" w:rsidP="005E0B2B">
                  <w:pPr>
                    <w:autoSpaceDE w:val="0"/>
                    <w:autoSpaceDN w:val="0"/>
                    <w:adjustRightInd w:val="0"/>
                    <w:spacing w:after="240"/>
                    <w:jc w:val="center"/>
                    <w:rPr>
                      <w:rFonts w:ascii="Arial" w:hAnsi="Arial" w:cs="Arial"/>
                      <w:b/>
                      <w:bCs/>
                    </w:rPr>
                  </w:pPr>
                  <w:r w:rsidRPr="003C18B5">
                    <w:rPr>
                      <w:rFonts w:ascii="Arial" w:hAnsi="Arial" w:cs="Arial"/>
                      <w:b/>
                      <w:bCs/>
                    </w:rPr>
                    <w:t>Figura</w:t>
                  </w:r>
                  <w:r w:rsidR="00047656" w:rsidRPr="003C18B5">
                    <w:rPr>
                      <w:rFonts w:ascii="Arial" w:hAnsi="Arial" w:cs="Arial"/>
                      <w:b/>
                      <w:bCs/>
                    </w:rPr>
                    <w:t xml:space="preserve"> 4</w:t>
                  </w:r>
                  <w:r w:rsidRPr="003C18B5">
                    <w:rPr>
                      <w:rFonts w:ascii="Arial" w:hAnsi="Arial" w:cs="Arial"/>
                      <w:b/>
                      <w:bCs/>
                    </w:rPr>
                    <w:t xml:space="preserve">. </w:t>
                  </w:r>
                  <w:r w:rsidRPr="003C18B5">
                    <w:rPr>
                      <w:rFonts w:ascii="Arial" w:hAnsi="Arial" w:cs="Arial"/>
                      <w:bCs/>
                    </w:rPr>
                    <w:t xml:space="preserve">Esquema de síntesis de </w:t>
                  </w:r>
                  <w:r w:rsidRPr="003C18B5">
                    <w:rPr>
                      <w:rFonts w:ascii="Arial" w:hAnsi="Arial" w:cs="Arial"/>
                      <w:lang w:val="es-VE" w:eastAsia="es-VE"/>
                    </w:rPr>
                    <w:t xml:space="preserve">[(7-cloroquinolin-4-il)amino]acetofenonas </w:t>
                  </w:r>
                  <w:r w:rsidRPr="003C18B5">
                    <w:rPr>
                      <w:rFonts w:ascii="Arial" w:hAnsi="Arial" w:cs="Arial"/>
                      <w:b/>
                      <w:lang w:val="es-VE" w:eastAsia="es-VE"/>
                    </w:rPr>
                    <w:t>(</w:t>
                  </w:r>
                  <w:r w:rsidR="00047656" w:rsidRPr="003C18B5">
                    <w:rPr>
                      <w:rFonts w:ascii="Arial" w:hAnsi="Arial" w:cs="Arial"/>
                      <w:b/>
                      <w:lang w:val="es-VE" w:eastAsia="es-VE"/>
                    </w:rPr>
                    <w:t>10</w:t>
                  </w:r>
                  <w:r w:rsidRPr="003C18B5">
                    <w:rPr>
                      <w:rFonts w:ascii="Arial" w:hAnsi="Arial" w:cs="Arial"/>
                      <w:lang w:val="es-VE" w:eastAsia="es-VE"/>
                    </w:rPr>
                    <w:t>,</w:t>
                  </w:r>
                  <w:r w:rsidRPr="003C18B5">
                    <w:rPr>
                      <w:rFonts w:ascii="Arial" w:hAnsi="Arial" w:cs="Arial"/>
                      <w:b/>
                      <w:lang w:val="es-VE" w:eastAsia="es-VE"/>
                    </w:rPr>
                    <w:t xml:space="preserve"> 1</w:t>
                  </w:r>
                  <w:r w:rsidR="00047656" w:rsidRPr="003C18B5">
                    <w:rPr>
                      <w:rFonts w:ascii="Arial" w:hAnsi="Arial" w:cs="Arial"/>
                      <w:b/>
                      <w:lang w:val="es-VE" w:eastAsia="es-VE"/>
                    </w:rPr>
                    <w:t>1</w:t>
                  </w:r>
                  <w:r w:rsidRPr="003C18B5">
                    <w:rPr>
                      <w:rFonts w:ascii="Arial" w:hAnsi="Arial" w:cs="Arial"/>
                      <w:b/>
                      <w:lang w:val="es-VE" w:eastAsia="es-VE"/>
                    </w:rPr>
                    <w:t>)</w:t>
                  </w:r>
                </w:p>
              </w:tc>
            </w:tr>
          </w:tbl>
          <w:p w:rsidR="00C76C89" w:rsidRPr="003C18B5" w:rsidRDefault="00C76C89" w:rsidP="005E0B2B">
            <w:pPr>
              <w:pStyle w:val="Prrafodelista"/>
              <w:numPr>
                <w:ilvl w:val="1"/>
                <w:numId w:val="9"/>
              </w:numPr>
              <w:tabs>
                <w:tab w:val="left" w:pos="1134"/>
              </w:tabs>
              <w:autoSpaceDE w:val="0"/>
              <w:autoSpaceDN w:val="0"/>
              <w:adjustRightInd w:val="0"/>
              <w:spacing w:before="240" w:after="240"/>
              <w:ind w:hanging="153"/>
              <w:rPr>
                <w:rFonts w:ascii="Arial" w:hAnsi="Arial" w:cs="Arial"/>
              </w:rPr>
            </w:pPr>
            <w:r w:rsidRPr="003C18B5">
              <w:rPr>
                <w:rFonts w:ascii="Arial" w:hAnsi="Arial" w:cs="Arial"/>
              </w:rPr>
              <w:t xml:space="preserve">Síntesis </w:t>
            </w:r>
            <w:r w:rsidRPr="003C18B5">
              <w:rPr>
                <w:rFonts w:ascii="Arial" w:hAnsi="Arial" w:cs="Arial"/>
                <w:lang w:val="es-VE"/>
              </w:rPr>
              <w:t xml:space="preserve">y </w:t>
            </w:r>
            <w:r w:rsidR="00D23307" w:rsidRPr="003C18B5">
              <w:rPr>
                <w:rFonts w:ascii="Arial" w:hAnsi="Arial" w:cs="Arial"/>
                <w:lang w:val="es-VE"/>
              </w:rPr>
              <w:t>purificación</w:t>
            </w:r>
            <w:r w:rsidRPr="003C18B5">
              <w:rPr>
                <w:rFonts w:ascii="Arial" w:hAnsi="Arial" w:cs="Arial"/>
                <w:lang w:val="es-VE"/>
              </w:rPr>
              <w:t xml:space="preserve"> </w:t>
            </w:r>
            <w:r w:rsidRPr="003C18B5">
              <w:rPr>
                <w:rFonts w:ascii="Arial" w:hAnsi="Arial" w:cs="Arial"/>
              </w:rPr>
              <w:t>de los derivados (tio)semicarbazonas</w:t>
            </w:r>
            <w:r w:rsidR="00CF2FF8" w:rsidRPr="003C18B5">
              <w:rPr>
                <w:rFonts w:ascii="Arial" w:hAnsi="Arial" w:cs="Arial"/>
              </w:rPr>
              <w:t xml:space="preserve"> y carboximidamidas</w:t>
            </w:r>
            <w:r w:rsidRPr="003C18B5">
              <w:rPr>
                <w:rFonts w:ascii="Arial" w:hAnsi="Arial" w:cs="Arial"/>
              </w:rPr>
              <w:t xml:space="preserve"> (</w:t>
            </w:r>
            <w:r w:rsidRPr="003C18B5">
              <w:rPr>
                <w:rFonts w:ascii="Arial" w:hAnsi="Arial" w:cs="Arial"/>
                <w:b/>
              </w:rPr>
              <w:t>13a-l</w:t>
            </w:r>
            <w:r w:rsidRPr="003C18B5">
              <w:rPr>
                <w:rFonts w:ascii="Arial" w:hAnsi="Arial" w:cs="Arial"/>
              </w:rPr>
              <w:t>)</w:t>
            </w:r>
          </w:p>
          <w:p w:rsidR="00D27E1E" w:rsidRPr="005E0B2B" w:rsidRDefault="003A3AF5" w:rsidP="005E0B2B">
            <w:pPr>
              <w:autoSpaceDE w:val="0"/>
              <w:autoSpaceDN w:val="0"/>
              <w:adjustRightInd w:val="0"/>
              <w:spacing w:before="240" w:after="240"/>
              <w:ind w:firstLine="567"/>
              <w:rPr>
                <w:rFonts w:ascii="Arial" w:hAnsi="Arial" w:cs="Arial"/>
                <w:lang w:val="es-VE"/>
              </w:rPr>
            </w:pPr>
            <w:r w:rsidRPr="003C18B5">
              <w:rPr>
                <w:rFonts w:ascii="Arial" w:hAnsi="Arial" w:cs="Arial"/>
              </w:rPr>
              <w:t>Estos compuestos se sintetizarán siguiendo el procedimiento básico para la obtención de (tio)semicarbazonas y carboximidamidas</w:t>
            </w:r>
            <w:r w:rsidR="00B11585" w:rsidRPr="003C18B5">
              <w:rPr>
                <w:rFonts w:ascii="Arial" w:hAnsi="Arial" w:cs="Arial"/>
              </w:rPr>
              <w:t xml:space="preserve"> </w:t>
            </w:r>
            <w:r w:rsidR="00B11585" w:rsidRPr="003C18B5">
              <w:rPr>
                <w:rFonts w:ascii="Arial" w:hAnsi="Arial" w:cs="Arial"/>
              </w:rPr>
              <w:fldChar w:fldCharType="begin" w:fldLock="1"/>
            </w:r>
            <w:r w:rsidR="00B11585" w:rsidRPr="003C18B5">
              <w:rPr>
                <w:rFonts w:ascii="Arial" w:hAnsi="Arial" w:cs="Arial"/>
              </w:rPr>
              <w:instrText>ADDIN CSL_CITATION { "citationItems" : [ { "id" : "ITEM-1", "itemData" : { "author" : [ { "dropping-particle" : "", "family" : "Pingaew R, Prachayasittikul S", "given" : "Ruchirawat S.", "non-dropping-particle" : "", "parse-names" : false, "suffix" : "" } ], "container-title" : "Molecules", "id" : "ITEM-1", "issue" : "988-996", "issued" : { "date-parts" : [ [ "2010" ] ] }, "title" : "Syntesis, cytotoxic and antimalarial activities of benzoyl thiosemicarbazone analogs of isoquinoline and related compounds", "type" : "article-journal", "volume" : "15" }, "uris" : [ "http://www.mendeley.com/documents/?uuid=419bc69a-828f-4e47-bb39-5788956260f5" ] }, { "id" : "ITEM-2", "itemData" : { "author" : [ { "dropping-particle" : "", "family" : "Kalinowski D, Yu Y, Sharpe P, Islam M, Liao Y-T, Lovejoy D, Kumar N, Bernhardt P", "given" : "Richardson D.", "non-dropping-particle" : "", "parse-names" : false, "suffix" : "" } ], "container-title" : "J Med Chem", "id" : "ITEM-2", "issued" : { "date-parts" : [ [ "2007" ] ] }, "page" : "3716-3729", "title" : "Design, synthesis, and characterization of novel iron chelators", "type" : "article-journal", "volume" : "50" }, "uris" : [ "http://www.mendeley.com/documents/?uuid=d190fbac-7801-491c-8c29-08216c30f438" ] } ], "mendeley" : { "formattedCitation" : "(Kalinowski D, Yu Y, Sharpe P, Islam M, Liao Y-T, Lovejoy D, Kumar N, Bernhardt P, 2007; Pingaew R, Prachayasittikul S, 2010)", "plainTextFormattedCitation" : "(Kalinowski D, Yu Y, Sharpe P, Islam M, Liao Y-T, Lovejoy D, Kumar N, Bernhardt P, 2007; Pingaew R, Prachayasittikul S, 2010)", "previouslyFormattedCitation" : "(Kalinowski D, Yu Y, Sharpe P, Islam M, Liao Y-T, Lovejoy D, Kumar N, Bernhardt P, 2007; Pingaew R, Prachayasittikul S, 2010)" }, "properties" : {  }, "schema" : "https://github.com/citation-style-language/schema/raw/master/csl-citation.json" }</w:instrText>
            </w:r>
            <w:r w:rsidR="00B11585" w:rsidRPr="003C18B5">
              <w:rPr>
                <w:rFonts w:ascii="Arial" w:hAnsi="Arial" w:cs="Arial"/>
              </w:rPr>
              <w:fldChar w:fldCharType="separate"/>
            </w:r>
            <w:r w:rsidR="00B11585" w:rsidRPr="003C18B5">
              <w:rPr>
                <w:rFonts w:ascii="Arial" w:hAnsi="Arial" w:cs="Arial"/>
                <w:noProof/>
              </w:rPr>
              <w:t>(Kalinowski D, Yu Y, Sharpe P, Islam M, Liao Y-T, Lovejoy D, Kumar N, Bernhardt P, 2007; Pingaew R, Prachayasittikul S, 2010)</w:t>
            </w:r>
            <w:r w:rsidR="00B11585" w:rsidRPr="003C18B5">
              <w:rPr>
                <w:rFonts w:ascii="Arial" w:hAnsi="Arial" w:cs="Arial"/>
              </w:rPr>
              <w:fldChar w:fldCharType="end"/>
            </w:r>
            <w:r w:rsidRPr="003C18B5">
              <w:rPr>
                <w:rFonts w:ascii="Arial" w:hAnsi="Arial" w:cs="Arial"/>
              </w:rPr>
              <w:t>.</w:t>
            </w:r>
            <w:r w:rsidRPr="003C18B5">
              <w:rPr>
                <w:rFonts w:ascii="Arial" w:hAnsi="Arial" w:cs="Arial"/>
                <w:vertAlign w:val="superscript"/>
              </w:rPr>
              <w:t xml:space="preserve"> </w:t>
            </w:r>
            <w:r w:rsidRPr="003C18B5">
              <w:rPr>
                <w:rFonts w:ascii="Arial" w:hAnsi="Arial" w:cs="Arial"/>
                <w:lang w:val="es-VE"/>
              </w:rPr>
              <w:t>Sin embargo, se ensayarán otros métodos de síntesis con enfoque verde.</w:t>
            </w:r>
          </w:p>
          <w:p w:rsidR="00754C05" w:rsidRPr="003C18B5" w:rsidRDefault="003A3AF5" w:rsidP="005E0B2B">
            <w:pPr>
              <w:pStyle w:val="Prrafodelista"/>
              <w:numPr>
                <w:ilvl w:val="2"/>
                <w:numId w:val="9"/>
              </w:numPr>
              <w:autoSpaceDE w:val="0"/>
              <w:autoSpaceDN w:val="0"/>
              <w:adjustRightInd w:val="0"/>
              <w:spacing w:before="240" w:after="240"/>
              <w:ind w:left="1134" w:hanging="567"/>
              <w:contextualSpacing w:val="0"/>
              <w:rPr>
                <w:rFonts w:ascii="Arial" w:hAnsi="Arial" w:cs="Arial"/>
              </w:rPr>
            </w:pPr>
            <w:r w:rsidRPr="003C18B5">
              <w:rPr>
                <w:rFonts w:ascii="Arial" w:hAnsi="Arial" w:cs="Arial"/>
              </w:rPr>
              <w:t>Procedimiento general para la síntesis</w:t>
            </w:r>
            <w:r w:rsidR="005718F6" w:rsidRPr="003C18B5">
              <w:rPr>
                <w:rFonts w:ascii="Arial" w:hAnsi="Arial" w:cs="Arial"/>
              </w:rPr>
              <w:t xml:space="preserve"> y purificación</w:t>
            </w:r>
            <w:r w:rsidRPr="003C18B5">
              <w:rPr>
                <w:rFonts w:ascii="Arial" w:hAnsi="Arial" w:cs="Arial"/>
              </w:rPr>
              <w:t xml:space="preserve"> de </w:t>
            </w:r>
            <w:r w:rsidR="00754C05" w:rsidRPr="003C18B5">
              <w:rPr>
                <w:rFonts w:ascii="Arial" w:hAnsi="Arial" w:cs="Arial"/>
                <w:lang w:val="es-VE" w:eastAsia="es-VE"/>
              </w:rPr>
              <w:t>las sem</w:t>
            </w:r>
            <w:r w:rsidR="00265B22" w:rsidRPr="003C18B5">
              <w:rPr>
                <w:rFonts w:ascii="Arial" w:hAnsi="Arial" w:cs="Arial"/>
                <w:lang w:val="es-VE" w:eastAsia="es-VE"/>
              </w:rPr>
              <w:t>icarbazonas, tiosemicarbazonas</w:t>
            </w:r>
            <w:r w:rsidR="00754C05" w:rsidRPr="003C18B5">
              <w:rPr>
                <w:rFonts w:ascii="Arial" w:hAnsi="Arial" w:cs="Arial"/>
                <w:lang w:val="es-VE" w:eastAsia="es-VE"/>
              </w:rPr>
              <w:t xml:space="preserve"> </w:t>
            </w:r>
            <w:r w:rsidR="00754C05" w:rsidRPr="003C18B5">
              <w:rPr>
                <w:rFonts w:ascii="Arial" w:hAnsi="Arial" w:cs="Arial"/>
              </w:rPr>
              <w:t>y carboximidamidas (</w:t>
            </w:r>
            <w:r w:rsidR="00754C05" w:rsidRPr="003C18B5">
              <w:rPr>
                <w:rFonts w:ascii="Arial" w:hAnsi="Arial" w:cs="Arial"/>
                <w:b/>
              </w:rPr>
              <w:t>13a-l</w:t>
            </w:r>
            <w:r w:rsidR="00754C05" w:rsidRPr="003C18B5">
              <w:rPr>
                <w:rFonts w:ascii="Arial" w:hAnsi="Arial" w:cs="Arial"/>
              </w:rPr>
              <w:t>)</w:t>
            </w:r>
            <w:r w:rsidR="0021560C">
              <w:rPr>
                <w:rFonts w:ascii="Arial" w:hAnsi="Arial" w:cs="Arial"/>
              </w:rPr>
              <w:t>.</w:t>
            </w:r>
          </w:p>
          <w:p w:rsidR="00265B22" w:rsidRPr="003C18B5" w:rsidRDefault="00785C3C" w:rsidP="0021560C">
            <w:pPr>
              <w:autoSpaceDE w:val="0"/>
              <w:autoSpaceDN w:val="0"/>
              <w:adjustRightInd w:val="0"/>
              <w:spacing w:before="240" w:after="240"/>
              <w:ind w:firstLine="567"/>
              <w:rPr>
                <w:rFonts w:ascii="Arial" w:hAnsi="Arial" w:cs="Arial"/>
              </w:rPr>
            </w:pPr>
            <w:r w:rsidRPr="003C18B5">
              <w:rPr>
                <w:rFonts w:ascii="Arial" w:hAnsi="Arial" w:cs="Arial"/>
              </w:rPr>
              <w:t xml:space="preserve">En un balón de reacción, provisto de un sistema de agitación y calentamiento, se preparará una mezcla en una relación molar 1:1 de los reactivos, disolviendo 0,42g (1,42mmol) de </w:t>
            </w:r>
            <w:r w:rsidRPr="003C18B5">
              <w:rPr>
                <w:rFonts w:ascii="Arial" w:hAnsi="Arial" w:cs="Arial"/>
                <w:lang w:val="es-VE" w:eastAsia="es-VE"/>
              </w:rPr>
              <w:t>[(7-cloroquinolin-4-il)amino]acetofenona (</w:t>
            </w:r>
            <w:r w:rsidRPr="003C18B5">
              <w:rPr>
                <w:rFonts w:ascii="Arial" w:hAnsi="Arial" w:cs="Arial"/>
                <w:b/>
                <w:lang w:val="es-VE" w:eastAsia="es-VE"/>
              </w:rPr>
              <w:t>10</w:t>
            </w:r>
            <w:r w:rsidRPr="003C18B5">
              <w:rPr>
                <w:rFonts w:ascii="Arial" w:hAnsi="Arial" w:cs="Arial"/>
                <w:lang w:val="es-VE" w:eastAsia="es-VE"/>
              </w:rPr>
              <w:t xml:space="preserve"> o </w:t>
            </w:r>
            <w:r w:rsidRPr="003C18B5">
              <w:rPr>
                <w:rFonts w:ascii="Arial" w:hAnsi="Arial" w:cs="Arial"/>
                <w:b/>
                <w:lang w:val="es-VE" w:eastAsia="es-VE"/>
              </w:rPr>
              <w:t>11</w:t>
            </w:r>
            <w:r w:rsidRPr="003C18B5">
              <w:rPr>
                <w:rFonts w:ascii="Arial" w:hAnsi="Arial" w:cs="Arial"/>
                <w:lang w:val="es-VE" w:eastAsia="es-VE"/>
              </w:rPr>
              <w:t xml:space="preserve">) en metanol seco (20 mL) hasta obtener </w:t>
            </w:r>
            <w:r w:rsidRPr="003C18B5">
              <w:rPr>
                <w:rFonts w:ascii="Arial" w:hAnsi="Arial" w:cs="Arial"/>
                <w:lang w:val="es-VE" w:eastAsia="es-VE"/>
              </w:rPr>
              <w:lastRenderedPageBreak/>
              <w:t xml:space="preserve">una solución transparente. </w:t>
            </w:r>
            <w:r w:rsidR="00F86637" w:rsidRPr="003C18B5">
              <w:rPr>
                <w:rFonts w:ascii="Arial" w:hAnsi="Arial" w:cs="Arial"/>
                <w:lang w:val="es-VE" w:eastAsia="es-VE"/>
              </w:rPr>
              <w:t>Posteriormente se agregará</w:t>
            </w:r>
            <w:r w:rsidRPr="003C18B5">
              <w:rPr>
                <w:rFonts w:ascii="Arial" w:hAnsi="Arial" w:cs="Arial"/>
                <w:lang w:val="es-VE" w:eastAsia="es-VE"/>
              </w:rPr>
              <w:t xml:space="preserve"> 0,158g (1,42mmol) de </w:t>
            </w:r>
            <w:r w:rsidR="00F86637" w:rsidRPr="003C18B5">
              <w:rPr>
                <w:rFonts w:ascii="Arial" w:hAnsi="Arial" w:cs="Arial"/>
                <w:lang w:val="es-VE" w:eastAsia="es-VE"/>
              </w:rPr>
              <w:t>las</w:t>
            </w:r>
            <w:r w:rsidRPr="003C18B5">
              <w:rPr>
                <w:rFonts w:ascii="Arial" w:hAnsi="Arial" w:cs="Arial"/>
                <w:lang w:val="es-VE" w:eastAsia="es-VE"/>
              </w:rPr>
              <w:t xml:space="preserve"> semicarbazida</w:t>
            </w:r>
            <w:r w:rsidR="00F86637" w:rsidRPr="003C18B5">
              <w:rPr>
                <w:rFonts w:ascii="Arial" w:hAnsi="Arial" w:cs="Arial"/>
                <w:lang w:val="es-VE" w:eastAsia="es-VE"/>
              </w:rPr>
              <w:t xml:space="preserve">s (tiosemicarbazidas o </w:t>
            </w:r>
            <w:r w:rsidR="00F86637" w:rsidRPr="003C18B5">
              <w:rPr>
                <w:rFonts w:ascii="Arial" w:hAnsi="Arial" w:cs="Arial"/>
              </w:rPr>
              <w:t>hidrazinacarboximidamida)</w:t>
            </w:r>
            <w:r w:rsidRPr="003C18B5">
              <w:rPr>
                <w:rFonts w:ascii="Arial" w:hAnsi="Arial" w:cs="Arial"/>
                <w:lang w:val="es-VE" w:eastAsia="es-VE"/>
              </w:rPr>
              <w:t xml:space="preserve"> y 0,116g (1,41mmol) de acetato de sodio</w:t>
            </w:r>
            <w:r w:rsidR="00574987" w:rsidRPr="003C18B5">
              <w:rPr>
                <w:rFonts w:ascii="Arial" w:hAnsi="Arial" w:cs="Arial"/>
                <w:lang w:val="es-VE" w:eastAsia="es-VE"/>
              </w:rPr>
              <w:t xml:space="preserve"> (o 0,3mL de ácido acético glacial)</w:t>
            </w:r>
            <w:r w:rsidRPr="003C18B5">
              <w:rPr>
                <w:rFonts w:ascii="Arial" w:hAnsi="Arial" w:cs="Arial"/>
                <w:lang w:val="es-VE" w:eastAsia="es-VE"/>
              </w:rPr>
              <w:t xml:space="preserve">, </w:t>
            </w:r>
            <w:r w:rsidRPr="003C18B5">
              <w:rPr>
                <w:rFonts w:ascii="Arial" w:hAnsi="Arial" w:cs="Arial"/>
              </w:rPr>
              <w:t xml:space="preserve">sometiendo la mezcla a calentamiento en reflujo (65-70°C), manteniendo el pH entre 4,0-5,0; agitación constante y monitoreando el transcurso de la reacción por TLC. </w:t>
            </w:r>
            <w:r w:rsidR="00F86637" w:rsidRPr="003C18B5">
              <w:rPr>
                <w:rFonts w:ascii="Arial" w:hAnsi="Arial" w:cs="Arial"/>
              </w:rPr>
              <w:t>El sólido obtenido se filtrará, se lavará</w:t>
            </w:r>
            <w:r w:rsidRPr="003C18B5">
              <w:rPr>
                <w:rFonts w:ascii="Arial" w:hAnsi="Arial" w:cs="Arial"/>
              </w:rPr>
              <w:t xml:space="preserve"> con metanol por triplicado</w:t>
            </w:r>
            <w:r w:rsidR="00F86637" w:rsidRPr="003C18B5">
              <w:rPr>
                <w:rFonts w:ascii="Arial" w:hAnsi="Arial" w:cs="Arial"/>
              </w:rPr>
              <w:t>, se recristalizará</w:t>
            </w:r>
            <w:r w:rsidRPr="003C18B5">
              <w:rPr>
                <w:rFonts w:ascii="Arial" w:hAnsi="Arial" w:cs="Arial"/>
              </w:rPr>
              <w:t xml:space="preserve"> a partir de una mezcla de DMF-metanol (1:5) y finalmente </w:t>
            </w:r>
            <w:r w:rsidR="00F86637" w:rsidRPr="003C18B5">
              <w:rPr>
                <w:rFonts w:ascii="Arial" w:hAnsi="Arial" w:cs="Arial"/>
              </w:rPr>
              <w:t>se volverá</w:t>
            </w:r>
            <w:r w:rsidRPr="003C18B5">
              <w:rPr>
                <w:rFonts w:ascii="Arial" w:hAnsi="Arial" w:cs="Arial"/>
              </w:rPr>
              <w:t xml:space="preserve"> a lavar con éter dietílico. Un esquema de esta sín</w:t>
            </w:r>
            <w:r w:rsidR="00F86637" w:rsidRPr="003C18B5">
              <w:rPr>
                <w:rFonts w:ascii="Arial" w:hAnsi="Arial" w:cs="Arial"/>
              </w:rPr>
              <w:t>tesis se muestra en la figura 5</w:t>
            </w:r>
            <w:r w:rsidRPr="003C18B5">
              <w:rPr>
                <w:rFonts w:ascii="Arial" w:hAnsi="Arial" w:cs="Arial"/>
              </w:rPr>
              <w:t>.</w:t>
            </w:r>
          </w:p>
          <w:tbl>
            <w:tblPr>
              <w:tblW w:w="0" w:type="auto"/>
              <w:jc w:val="center"/>
              <w:tblLook w:val="04A0"/>
            </w:tblPr>
            <w:tblGrid>
              <w:gridCol w:w="9390"/>
            </w:tblGrid>
            <w:tr w:rsidR="00574987" w:rsidRPr="003C18B5" w:rsidTr="00251EE6">
              <w:trPr>
                <w:trHeight w:val="2599"/>
                <w:jc w:val="center"/>
              </w:trPr>
              <w:tc>
                <w:tcPr>
                  <w:tcW w:w="9545" w:type="dxa"/>
                </w:tcPr>
                <w:p w:rsidR="00574987" w:rsidRPr="003C18B5" w:rsidRDefault="00574987" w:rsidP="00251EE6">
                  <w:pPr>
                    <w:jc w:val="center"/>
                    <w:rPr>
                      <w:rFonts w:ascii="Arial" w:hAnsi="Arial" w:cs="Arial"/>
                      <w:lang w:val="es-VE"/>
                    </w:rPr>
                  </w:pPr>
                  <w:r w:rsidRPr="003C18B5">
                    <w:rPr>
                      <w:rFonts w:ascii="Arial" w:hAnsi="Arial" w:cs="Arial"/>
                    </w:rPr>
                    <w:object w:dxaOrig="9870" w:dyaOrig="3436">
                      <v:shape id="_x0000_i1027" type="#_x0000_t75" style="width:416.1pt;height:144.7pt" o:ole="">
                        <v:imagedata r:id="rId39" o:title=""/>
                      </v:shape>
                      <o:OLEObject Type="Embed" ProgID="ACD.ChemSketch.20" ShapeID="_x0000_i1027" DrawAspect="Content" ObjectID="_1574214147" r:id="rId40"/>
                    </w:object>
                  </w:r>
                </w:p>
              </w:tc>
            </w:tr>
            <w:tr w:rsidR="00574987" w:rsidRPr="003C18B5" w:rsidTr="00251EE6">
              <w:trPr>
                <w:trHeight w:val="524"/>
                <w:jc w:val="center"/>
              </w:trPr>
              <w:tc>
                <w:tcPr>
                  <w:tcW w:w="9545" w:type="dxa"/>
                </w:tcPr>
                <w:p w:rsidR="00574987" w:rsidRPr="003C18B5" w:rsidRDefault="00574987" w:rsidP="000C2591">
                  <w:pPr>
                    <w:autoSpaceDE w:val="0"/>
                    <w:autoSpaceDN w:val="0"/>
                    <w:adjustRightInd w:val="0"/>
                    <w:spacing w:after="120" w:line="360" w:lineRule="auto"/>
                    <w:jc w:val="center"/>
                    <w:rPr>
                      <w:rFonts w:ascii="Arial" w:hAnsi="Arial" w:cs="Arial"/>
                      <w:bCs/>
                    </w:rPr>
                  </w:pPr>
                  <w:r w:rsidRPr="003C18B5">
                    <w:rPr>
                      <w:rFonts w:ascii="Arial" w:hAnsi="Arial" w:cs="Arial"/>
                      <w:bCs/>
                    </w:rPr>
                    <w:t>Condiciones:</w:t>
                  </w:r>
                  <w:r w:rsidRPr="003C18B5">
                    <w:rPr>
                      <w:rFonts w:ascii="Arial" w:hAnsi="Arial" w:cs="Arial"/>
                      <w:b/>
                      <w:bCs/>
                    </w:rPr>
                    <w:t xml:space="preserve"> a) </w:t>
                  </w:r>
                  <w:r w:rsidRPr="003C18B5">
                    <w:rPr>
                      <w:rFonts w:ascii="Arial" w:hAnsi="Arial" w:cs="Arial"/>
                      <w:bCs/>
                    </w:rPr>
                    <w:t>Reflujo en</w:t>
                  </w:r>
                  <w:r w:rsidRPr="003C18B5">
                    <w:rPr>
                      <w:rFonts w:ascii="Arial" w:hAnsi="Arial" w:cs="Arial"/>
                      <w:b/>
                      <w:bCs/>
                    </w:rPr>
                    <w:t xml:space="preserve"> </w:t>
                  </w:r>
                  <w:r w:rsidRPr="003C18B5">
                    <w:rPr>
                      <w:rFonts w:ascii="Arial" w:hAnsi="Arial" w:cs="Arial"/>
                      <w:bCs/>
                    </w:rPr>
                    <w:t>MeOH seco a 65-70°C / acetato de sodio / pH 4-5</w:t>
                  </w:r>
                </w:p>
              </w:tc>
            </w:tr>
            <w:tr w:rsidR="00574987" w:rsidRPr="003C18B5" w:rsidTr="00251EE6">
              <w:trPr>
                <w:jc w:val="center"/>
              </w:trPr>
              <w:tc>
                <w:tcPr>
                  <w:tcW w:w="9545" w:type="dxa"/>
                </w:tcPr>
                <w:p w:rsidR="00574987" w:rsidRPr="003C18B5" w:rsidRDefault="00574987" w:rsidP="00C319FE">
                  <w:pPr>
                    <w:autoSpaceDE w:val="0"/>
                    <w:autoSpaceDN w:val="0"/>
                    <w:adjustRightInd w:val="0"/>
                    <w:spacing w:after="240"/>
                    <w:jc w:val="center"/>
                    <w:rPr>
                      <w:rFonts w:ascii="Arial" w:hAnsi="Arial" w:cs="Arial"/>
                      <w:b/>
                      <w:bCs/>
                    </w:rPr>
                  </w:pPr>
                  <w:r w:rsidRPr="003C18B5">
                    <w:rPr>
                      <w:rFonts w:ascii="Arial" w:hAnsi="Arial" w:cs="Arial"/>
                      <w:b/>
                      <w:bCs/>
                    </w:rPr>
                    <w:t>Figura</w:t>
                  </w:r>
                  <w:r w:rsidR="001B760F" w:rsidRPr="003C18B5">
                    <w:rPr>
                      <w:rFonts w:ascii="Arial" w:hAnsi="Arial" w:cs="Arial"/>
                      <w:b/>
                      <w:bCs/>
                    </w:rPr>
                    <w:t xml:space="preserve"> 5</w:t>
                  </w:r>
                  <w:r w:rsidRPr="003C18B5">
                    <w:rPr>
                      <w:rFonts w:ascii="Arial" w:hAnsi="Arial" w:cs="Arial"/>
                      <w:b/>
                      <w:bCs/>
                    </w:rPr>
                    <w:t xml:space="preserve">. </w:t>
                  </w:r>
                  <w:r w:rsidRPr="003C18B5">
                    <w:rPr>
                      <w:rFonts w:ascii="Arial" w:hAnsi="Arial" w:cs="Arial"/>
                      <w:bCs/>
                    </w:rPr>
                    <w:t xml:space="preserve">Esquema de </w:t>
                  </w:r>
                  <w:r w:rsidR="000C2591" w:rsidRPr="003C18B5">
                    <w:rPr>
                      <w:rFonts w:ascii="Arial" w:hAnsi="Arial" w:cs="Arial"/>
                    </w:rPr>
                    <w:t>s</w:t>
                  </w:r>
                  <w:r w:rsidRPr="003C18B5">
                    <w:rPr>
                      <w:rFonts w:ascii="Arial" w:hAnsi="Arial" w:cs="Arial"/>
                    </w:rPr>
                    <w:t xml:space="preserve">íntesis </w:t>
                  </w:r>
                  <w:r w:rsidR="000C2591" w:rsidRPr="003C18B5">
                    <w:rPr>
                      <w:rFonts w:ascii="Arial" w:hAnsi="Arial" w:cs="Arial"/>
                    </w:rPr>
                    <w:t xml:space="preserve">general de </w:t>
                  </w:r>
                  <w:r w:rsidR="000C2591" w:rsidRPr="003C18B5">
                    <w:rPr>
                      <w:rFonts w:ascii="Arial" w:hAnsi="Arial" w:cs="Arial"/>
                      <w:b/>
                    </w:rPr>
                    <w:t>13a-l</w:t>
                  </w:r>
                </w:p>
              </w:tc>
            </w:tr>
          </w:tbl>
          <w:p w:rsidR="006C33F9" w:rsidRPr="003C18B5" w:rsidRDefault="005725B0" w:rsidP="00C319FE">
            <w:pPr>
              <w:pStyle w:val="Prrafodelista"/>
              <w:numPr>
                <w:ilvl w:val="0"/>
                <w:numId w:val="9"/>
              </w:numPr>
              <w:spacing w:before="240" w:after="240"/>
              <w:ind w:left="357" w:hanging="357"/>
              <w:contextualSpacing w:val="0"/>
              <w:rPr>
                <w:rFonts w:ascii="Arial" w:hAnsi="Arial" w:cs="Arial"/>
                <w:b/>
                <w:bCs/>
              </w:rPr>
            </w:pPr>
            <w:r>
              <w:rPr>
                <w:rFonts w:ascii="Arial" w:hAnsi="Arial" w:cs="Arial"/>
                <w:b/>
                <w:bCs/>
              </w:rPr>
              <w:t>Caracterización e</w:t>
            </w:r>
            <w:r w:rsidR="006C33F9" w:rsidRPr="003C18B5">
              <w:rPr>
                <w:rFonts w:ascii="Arial" w:hAnsi="Arial" w:cs="Arial"/>
                <w:b/>
                <w:bCs/>
              </w:rPr>
              <w:t>spectroscópica</w:t>
            </w:r>
            <w:r w:rsidR="00C319FE">
              <w:rPr>
                <w:rFonts w:ascii="Arial" w:hAnsi="Arial" w:cs="Arial"/>
                <w:b/>
                <w:bCs/>
              </w:rPr>
              <w:t xml:space="preserve"> de los compuestos sintetizados 10, 11 y 13a-l.</w:t>
            </w:r>
          </w:p>
          <w:p w:rsidR="00D76F89" w:rsidRDefault="00C4311F" w:rsidP="00D76F89">
            <w:pPr>
              <w:spacing w:before="120" w:after="120"/>
              <w:ind w:firstLine="567"/>
              <w:rPr>
                <w:rFonts w:ascii="Arial" w:hAnsi="Arial" w:cs="Arial"/>
              </w:rPr>
            </w:pPr>
            <w:r w:rsidRPr="003C18B5">
              <w:rPr>
                <w:rFonts w:ascii="Arial" w:hAnsi="Arial" w:cs="Arial"/>
              </w:rPr>
              <w:t xml:space="preserve">Los Espectros UV-Vis, y en especial los infrarrojos se realizarán empleando posiblemente un espectrofotómetro Varian modelo 600 (ubicado en la Facultad de Ciencias Químicas-UCE o Facultad de Ingeniería Química-UCE). </w:t>
            </w:r>
          </w:p>
          <w:p w:rsidR="00D76F89" w:rsidRDefault="006C33F9" w:rsidP="00D76F89">
            <w:pPr>
              <w:spacing w:before="120" w:after="120"/>
              <w:ind w:firstLine="567"/>
              <w:rPr>
                <w:rFonts w:ascii="Arial" w:hAnsi="Arial" w:cs="Arial"/>
              </w:rPr>
            </w:pPr>
            <w:r w:rsidRPr="003C18B5">
              <w:rPr>
                <w:rFonts w:ascii="Arial" w:hAnsi="Arial" w:cs="Arial"/>
              </w:rPr>
              <w:t>Se realizarán experimentos de RMN</w:t>
            </w:r>
            <w:r w:rsidR="00367721">
              <w:rPr>
                <w:rFonts w:ascii="Arial" w:hAnsi="Arial" w:cs="Arial"/>
              </w:rPr>
              <w:t xml:space="preserve"> </w:t>
            </w:r>
            <w:r w:rsidR="00367721">
              <w:rPr>
                <w:rFonts w:ascii="Arial" w:hAnsi="Arial" w:cs="Arial"/>
                <w:vertAlign w:val="superscript"/>
              </w:rPr>
              <w:t>1</w:t>
            </w:r>
            <w:r w:rsidRPr="003C18B5">
              <w:rPr>
                <w:rFonts w:ascii="Arial" w:hAnsi="Arial" w:cs="Arial"/>
              </w:rPr>
              <w:t>H y RMN</w:t>
            </w:r>
            <w:r w:rsidR="00367721">
              <w:rPr>
                <w:rFonts w:ascii="Arial" w:hAnsi="Arial" w:cs="Arial"/>
              </w:rPr>
              <w:t xml:space="preserve"> </w:t>
            </w:r>
            <w:r w:rsidR="00367721">
              <w:rPr>
                <w:rFonts w:ascii="Arial" w:hAnsi="Arial" w:cs="Arial"/>
                <w:vertAlign w:val="superscript"/>
              </w:rPr>
              <w:t>13</w:t>
            </w:r>
            <w:r w:rsidRPr="003C18B5">
              <w:rPr>
                <w:rFonts w:ascii="Arial" w:hAnsi="Arial" w:cs="Arial"/>
              </w:rPr>
              <w:t>C</w:t>
            </w:r>
            <w:r w:rsidR="004706DE">
              <w:rPr>
                <w:rFonts w:ascii="Arial" w:hAnsi="Arial" w:cs="Arial"/>
              </w:rPr>
              <w:t>, empleando un e</w:t>
            </w:r>
            <w:r w:rsidRPr="003C18B5">
              <w:rPr>
                <w:rFonts w:ascii="Arial" w:hAnsi="Arial" w:cs="Arial"/>
              </w:rPr>
              <w:t>spectrómetro ubicado en el Laboratorio de Resonancia Magnética Nuclear de la Universidad Técnica Particular de Loja</w:t>
            </w:r>
            <w:r w:rsidR="00762CD9" w:rsidRPr="003C18B5">
              <w:rPr>
                <w:rFonts w:ascii="Arial" w:hAnsi="Arial" w:cs="Arial"/>
              </w:rPr>
              <w:t xml:space="preserve"> (Ecuador)</w:t>
            </w:r>
            <w:r w:rsidRPr="003C18B5">
              <w:rPr>
                <w:rFonts w:ascii="Arial" w:hAnsi="Arial" w:cs="Arial"/>
              </w:rPr>
              <w:t xml:space="preserve"> y</w:t>
            </w:r>
            <w:r w:rsidR="00521A0B" w:rsidRPr="003C18B5">
              <w:rPr>
                <w:rFonts w:ascii="Arial" w:hAnsi="Arial" w:cs="Arial"/>
              </w:rPr>
              <w:t>, de ser necesario, en el Instituto Venezolan</w:t>
            </w:r>
            <w:r w:rsidRPr="003C18B5">
              <w:rPr>
                <w:rFonts w:ascii="Arial" w:hAnsi="Arial" w:cs="Arial"/>
              </w:rPr>
              <w:t>o de Investigaciones Científicas</w:t>
            </w:r>
            <w:r w:rsidR="00521A0B" w:rsidRPr="003C18B5">
              <w:rPr>
                <w:rFonts w:ascii="Arial" w:hAnsi="Arial" w:cs="Arial"/>
              </w:rPr>
              <w:t xml:space="preserve"> (IVIC</w:t>
            </w:r>
            <w:r w:rsidR="00762CD9" w:rsidRPr="003C18B5">
              <w:rPr>
                <w:rFonts w:ascii="Arial" w:hAnsi="Arial" w:cs="Arial"/>
              </w:rPr>
              <w:t>-Venezuela</w:t>
            </w:r>
            <w:r w:rsidR="00521A0B" w:rsidRPr="003C18B5">
              <w:rPr>
                <w:rFonts w:ascii="Arial" w:hAnsi="Arial" w:cs="Arial"/>
              </w:rPr>
              <w:t>).</w:t>
            </w:r>
          </w:p>
          <w:p w:rsidR="00D76F89" w:rsidRDefault="005B03A3" w:rsidP="00D76F89">
            <w:pPr>
              <w:spacing w:before="120" w:after="120"/>
              <w:ind w:firstLine="567"/>
              <w:rPr>
                <w:rFonts w:ascii="Arial" w:hAnsi="Arial" w:cs="Arial"/>
              </w:rPr>
            </w:pPr>
            <w:r w:rsidRPr="003C18B5">
              <w:rPr>
                <w:rFonts w:ascii="Arial" w:hAnsi="Arial" w:cs="Arial"/>
              </w:rPr>
              <w:t>El análisis elemental se realizará empleando posiblemente un analizador elemental SERIES II CHNS/O ANALYZER 2400, marca PERKINELMER, bajo la técnica de separación por cromatografía frontal con detector TCD (Thermal</w:t>
            </w:r>
            <w:r w:rsidR="004F507C" w:rsidRPr="003C18B5">
              <w:rPr>
                <w:rFonts w:ascii="Arial" w:hAnsi="Arial" w:cs="Arial"/>
              </w:rPr>
              <w:t xml:space="preserve"> </w:t>
            </w:r>
            <w:r w:rsidRPr="003C18B5">
              <w:rPr>
                <w:rFonts w:ascii="Arial" w:hAnsi="Arial" w:cs="Arial"/>
              </w:rPr>
              <w:t>Conductivity Detector) y modo de operación CHNS (Pregl-Dumas). Gas transportador helio, exactitud ≤0,3% y precisión ≤0,2%. Este equipo se encuentra ubicado en el Laboratorio de Biomasa del Instituto Nacional de Eficiencia Energética y Energías Renovables (INER-Ecuador).</w:t>
            </w:r>
          </w:p>
          <w:p w:rsidR="00E84256" w:rsidRDefault="00E84256" w:rsidP="00D76F89">
            <w:pPr>
              <w:spacing w:before="120" w:after="120"/>
              <w:ind w:firstLine="567"/>
              <w:rPr>
                <w:rFonts w:ascii="Arial" w:hAnsi="Arial" w:cs="Arial"/>
              </w:rPr>
            </w:pPr>
            <w:r w:rsidRPr="003C18B5">
              <w:rPr>
                <w:rFonts w:ascii="Arial" w:hAnsi="Arial" w:cs="Arial"/>
              </w:rPr>
              <w:t>En caso de obtener cristales</w:t>
            </w:r>
            <w:r w:rsidR="00E57D26" w:rsidRPr="003C18B5">
              <w:rPr>
                <w:rFonts w:ascii="Arial" w:hAnsi="Arial" w:cs="Arial"/>
              </w:rPr>
              <w:t xml:space="preserve"> adecuados, se espera poder realizar el análisis por Difracción de rayos X en monocristal. Entre los posibles difractómetros que se emplearían </w:t>
            </w:r>
            <w:r w:rsidR="001758BF" w:rsidRPr="003C18B5">
              <w:rPr>
                <w:rFonts w:ascii="Arial" w:hAnsi="Arial" w:cs="Arial"/>
              </w:rPr>
              <w:t>están:</w:t>
            </w:r>
            <w:r w:rsidR="00E57D26" w:rsidRPr="003C18B5">
              <w:rPr>
                <w:rFonts w:ascii="Arial" w:hAnsi="Arial" w:cs="Arial"/>
              </w:rPr>
              <w:t xml:space="preserve"> en primera opción el ubicado en el Laboratorio de Biofísica</w:t>
            </w:r>
            <w:r w:rsidR="00A56AF8" w:rsidRPr="003C18B5">
              <w:rPr>
                <w:rFonts w:ascii="Arial" w:hAnsi="Arial" w:cs="Arial"/>
              </w:rPr>
              <w:t xml:space="preserve"> del Departamento de Física de la Facultad de Ciencias</w:t>
            </w:r>
            <w:r w:rsidR="00E57D26" w:rsidRPr="003C18B5">
              <w:rPr>
                <w:rFonts w:ascii="Arial" w:hAnsi="Arial" w:cs="Arial"/>
              </w:rPr>
              <w:t xml:space="preserve"> de la E</w:t>
            </w:r>
            <w:r w:rsidR="00A56AF8" w:rsidRPr="003C18B5">
              <w:rPr>
                <w:rFonts w:ascii="Arial" w:hAnsi="Arial" w:cs="Arial"/>
              </w:rPr>
              <w:t>scuela Politécnica Nacional (</w:t>
            </w:r>
            <w:r w:rsidR="00E57D26" w:rsidRPr="003C18B5">
              <w:rPr>
                <w:rFonts w:ascii="Arial" w:hAnsi="Arial" w:cs="Arial"/>
              </w:rPr>
              <w:t>Ecuador</w:t>
            </w:r>
            <w:r w:rsidR="00A56AF8" w:rsidRPr="003C18B5">
              <w:rPr>
                <w:rFonts w:ascii="Arial" w:hAnsi="Arial" w:cs="Arial"/>
              </w:rPr>
              <w:t>)</w:t>
            </w:r>
            <w:r w:rsidR="00E57D26" w:rsidRPr="003C18B5">
              <w:rPr>
                <w:rFonts w:ascii="Arial" w:hAnsi="Arial" w:cs="Arial"/>
              </w:rPr>
              <w:t>; y en opciones alternativas, los ubicados en la Universidad Industrial de Santander (Colombia) o en la Universidad Nacional Autónoma de México.</w:t>
            </w:r>
          </w:p>
          <w:p w:rsidR="004706DE" w:rsidRDefault="004706DE" w:rsidP="00D76F89">
            <w:pPr>
              <w:spacing w:before="120" w:after="120"/>
              <w:ind w:firstLine="567"/>
              <w:rPr>
                <w:rFonts w:ascii="Arial" w:hAnsi="Arial" w:cs="Arial"/>
              </w:rPr>
            </w:pPr>
          </w:p>
          <w:p w:rsidR="004706DE" w:rsidRPr="003C18B5" w:rsidRDefault="004706DE" w:rsidP="00D76F89">
            <w:pPr>
              <w:spacing w:before="120" w:after="120"/>
              <w:ind w:firstLine="567"/>
              <w:rPr>
                <w:rFonts w:ascii="Arial" w:hAnsi="Arial" w:cs="Arial"/>
              </w:rPr>
            </w:pPr>
          </w:p>
          <w:p w:rsidR="00462643" w:rsidRPr="00D76F89" w:rsidRDefault="00462643" w:rsidP="004706DE">
            <w:pPr>
              <w:pStyle w:val="Prrafodelista"/>
              <w:numPr>
                <w:ilvl w:val="0"/>
                <w:numId w:val="9"/>
              </w:numPr>
              <w:spacing w:before="240" w:after="240" w:line="360" w:lineRule="auto"/>
              <w:ind w:left="357" w:hanging="357"/>
              <w:contextualSpacing w:val="0"/>
              <w:rPr>
                <w:rFonts w:ascii="Arial" w:hAnsi="Arial" w:cs="Arial"/>
                <w:b/>
              </w:rPr>
            </w:pPr>
            <w:r w:rsidRPr="00D76F89">
              <w:rPr>
                <w:rFonts w:ascii="Arial" w:hAnsi="Arial" w:cs="Arial"/>
                <w:b/>
              </w:rPr>
              <w:lastRenderedPageBreak/>
              <w:t xml:space="preserve">Estudios </w:t>
            </w:r>
            <w:r w:rsidR="00442807" w:rsidRPr="00D76F89">
              <w:rPr>
                <w:rFonts w:ascii="Arial" w:hAnsi="Arial" w:cs="Arial"/>
                <w:b/>
              </w:rPr>
              <w:t>computacionales de docking molecular</w:t>
            </w:r>
            <w:r w:rsidR="00D76F89">
              <w:rPr>
                <w:rFonts w:ascii="Arial" w:hAnsi="Arial" w:cs="Arial"/>
                <w:b/>
              </w:rPr>
              <w:t>.</w:t>
            </w:r>
          </w:p>
          <w:p w:rsidR="004706DE" w:rsidRDefault="00462643" w:rsidP="004706DE">
            <w:pPr>
              <w:spacing w:before="120" w:after="120"/>
              <w:ind w:firstLine="567"/>
              <w:rPr>
                <w:rFonts w:ascii="Arial" w:hAnsi="Arial" w:cs="Arial"/>
              </w:rPr>
            </w:pPr>
            <w:r w:rsidRPr="003C18B5">
              <w:rPr>
                <w:rFonts w:ascii="Arial" w:hAnsi="Arial" w:cs="Arial"/>
              </w:rPr>
              <w:t>Se realizará un estudio de Docking empleando el software libre ArgusLab 4.0.1</w:t>
            </w:r>
            <w:r w:rsidR="003444DA" w:rsidRPr="003C18B5">
              <w:rPr>
                <w:rFonts w:ascii="Arial" w:hAnsi="Arial" w:cs="Arial"/>
              </w:rPr>
              <w:t xml:space="preserve"> </w:t>
            </w:r>
            <w:r w:rsidR="003444DA" w:rsidRPr="003C18B5">
              <w:rPr>
                <w:rFonts w:ascii="Arial" w:hAnsi="Arial" w:cs="Arial"/>
              </w:rPr>
              <w:fldChar w:fldCharType="begin" w:fldLock="1"/>
            </w:r>
            <w:r w:rsidR="003444DA" w:rsidRPr="003C18B5">
              <w:rPr>
                <w:rFonts w:ascii="Arial" w:hAnsi="Arial" w:cs="Arial"/>
              </w:rPr>
              <w:instrText>ADDIN CSL_CITATION { "citationItems" : [ { "id" : "ITEM-1", "itemData" : { "author" : [ { "dropping-particle" : "", "family" : "Chikhi A; Bensegueni A.", "given" : "", "non-dropping-particle" : "", "parse-names" : false, "suffix" : "" } ], "container-title" : "J Comput Sci Syst Biol", "id" : "ITEM-1", "issued" : { "date-parts" : [ [ "2008" ] ] }, "page" : "081-086", "title" : "Docking Efficiency Comparison of Surflex, a Commercial Package and Arguslab, a Licensable Freeware", "type" : "article-journal", "volume" : "1" }, "uris" : [ "http://www.mendeley.com/documents/?uuid=c58264ec-7d46-4e54-b388-4f210f2e2203" ] }, { "id" : "ITEM-2", "itemData" : { "author" : [ { "dropping-particle" : "", "family" : "Oda A; Takahashi O", "given" : "", "non-dropping-particle" : "", "parse-names" : false, "suffix" : "" } ], "container-title" : "Chem-Bio Informatics J", "id" : "ITEM-2", "issued" : { "date-parts" : [ [ "2009" ] ] }, "page" : "52-61", "title" : "Validation of ArgusLab Efficiencies for Binding Free Energy Calculations", "type" : "article-journal", "volume" : "9" }, "uris" : [ "http://www.mendeley.com/documents/?uuid=52b18842-bf8a-4411-940b-568ae09ef40f" ] }, { "id" : "ITEM-3", "itemData" : { "author" : [ { "dropping-particle" : "", "family" : "Sundararajan S; Balajee R; Dhana-Rajan M", "given" : "", "non-dropping-particle" : "", "parse-names" : false, "suffix" : "" } ], "container-title" : "Inter J Pharm Pharm Sci", "id" : "ITEM-3", "issued" : { "date-parts" : [ [ "2010" ] ] }, "page" : "83-85", "title" : "Comparative docking analysis of neuraminidase with various inhibitors", "type" : "article-journal", "volume" : "2" }, "uris" : [ "http://www.mendeley.com/documents/?uuid=29b7482f-39f4-4c84-8faf-fa4dfc7c9f7f" ] } ], "mendeley" : { "formattedCitation" : "(Chikhi A; Bensegueni A., 2008; Oda A; Takahashi O, 2009; Sundararajan S; Balajee R; Dhana-Rajan M, 2010)", "plainTextFormattedCitation" : "(Chikhi A; Bensegueni A., 2008; Oda A; Takahashi O, 2009; Sundararajan S; Balajee R; Dhana-Rajan M, 2010)", "previouslyFormattedCitation" : "(Chikhi A; Bensegueni A., 2008; Oda A; Takahashi O, 2009; Sundararajan S; Balajee R; Dhana-Rajan M, 2010)" }, "properties" : {  }, "schema" : "https://github.com/citation-style-language/schema/raw/master/csl-citation.json" }</w:instrText>
            </w:r>
            <w:r w:rsidR="003444DA" w:rsidRPr="003C18B5">
              <w:rPr>
                <w:rFonts w:ascii="Arial" w:hAnsi="Arial" w:cs="Arial"/>
              </w:rPr>
              <w:fldChar w:fldCharType="separate"/>
            </w:r>
            <w:r w:rsidR="003444DA" w:rsidRPr="003C18B5">
              <w:rPr>
                <w:rFonts w:ascii="Arial" w:hAnsi="Arial" w:cs="Arial"/>
                <w:noProof/>
              </w:rPr>
              <w:t>(Chikhi A; Bensegueni A., 2008; Oda A; Takahashi O, 2009; Sundararajan S; Balajee R; Dhana-Rajan M, 2010)</w:t>
            </w:r>
            <w:r w:rsidR="003444DA" w:rsidRPr="003C18B5">
              <w:rPr>
                <w:rFonts w:ascii="Arial" w:hAnsi="Arial" w:cs="Arial"/>
              </w:rPr>
              <w:fldChar w:fldCharType="end"/>
            </w:r>
            <w:r w:rsidRPr="003C18B5">
              <w:rPr>
                <w:rFonts w:ascii="Arial" w:hAnsi="Arial" w:cs="Arial"/>
              </w:rPr>
              <w:t>, el cual emplea Algoritmo genético para generar las conformaciones u orientaciones de los ligandos en el sitio de unión. Para este experimento de modelado molecular se emplearán un conjunto de compuestos sintetizados con posibles actividades biológicas variadas (altas, moderadas y bajas), las cuales serán medidas, en investigaciones posteriores, bajo el mismo protocolo de estudio (Inhibición de formación de hemozoína). Los compuestos se dividirán en tres grupos de ligandos: Intermediarios acetofenonas, semicarbazonas, tiosemicarbazonas y carboximidamidas.</w:t>
            </w:r>
          </w:p>
          <w:p w:rsidR="004706DE" w:rsidRDefault="00647B23" w:rsidP="004706DE">
            <w:pPr>
              <w:spacing w:before="120" w:after="120"/>
              <w:ind w:firstLine="567"/>
              <w:rPr>
                <w:rFonts w:ascii="Arial" w:hAnsi="Arial" w:cs="Arial"/>
              </w:rPr>
            </w:pPr>
            <w:r w:rsidRPr="003C18B5">
              <w:rPr>
                <w:rFonts w:ascii="Arial" w:hAnsi="Arial" w:cs="Arial"/>
              </w:rPr>
              <w:t>Se construirán</w:t>
            </w:r>
            <w:r w:rsidR="00462643" w:rsidRPr="003C18B5">
              <w:rPr>
                <w:rFonts w:ascii="Arial" w:hAnsi="Arial" w:cs="Arial"/>
              </w:rPr>
              <w:t xml:space="preserve"> los modelos tridimensionales de las moléculas utilizadas como ligandos a</w:t>
            </w:r>
            <w:r w:rsidRPr="003C18B5">
              <w:rPr>
                <w:rFonts w:ascii="Arial" w:hAnsi="Arial" w:cs="Arial"/>
              </w:rPr>
              <w:t xml:space="preserve"> partir del editor del software ArgusLab 4.0.1</w:t>
            </w:r>
            <w:r w:rsidR="00462643" w:rsidRPr="003C18B5">
              <w:rPr>
                <w:rFonts w:ascii="Arial" w:hAnsi="Arial" w:cs="Arial"/>
              </w:rPr>
              <w:t xml:space="preserve">, </w:t>
            </w:r>
            <w:r w:rsidR="00462643" w:rsidRPr="003C18B5">
              <w:rPr>
                <w:rFonts w:ascii="Arial" w:hAnsi="Arial" w:cs="Arial"/>
                <w:lang w:val="es-VE"/>
              </w:rPr>
              <w:t xml:space="preserve">realizándose dos optimizaciones geométricas para cada estructura, primero usando los algoritmos </w:t>
            </w:r>
            <w:r w:rsidR="00462643" w:rsidRPr="003C18B5">
              <w:rPr>
                <w:rFonts w:ascii="Arial" w:hAnsi="Arial" w:cs="Arial"/>
                <w:i/>
                <w:iCs/>
                <w:lang w:val="es-VE"/>
              </w:rPr>
              <w:t xml:space="preserve">Conjugate Gradient </w:t>
            </w:r>
            <w:r w:rsidR="00462643" w:rsidRPr="003C18B5">
              <w:rPr>
                <w:rFonts w:ascii="Arial" w:hAnsi="Arial" w:cs="Arial"/>
                <w:lang w:val="es-VE"/>
              </w:rPr>
              <w:t xml:space="preserve">y </w:t>
            </w:r>
            <w:r w:rsidR="00462643" w:rsidRPr="003C18B5">
              <w:rPr>
                <w:rFonts w:ascii="Arial" w:hAnsi="Arial" w:cs="Arial"/>
                <w:i/>
                <w:iCs/>
                <w:lang w:val="es-VE"/>
              </w:rPr>
              <w:t>Block-Diagonal Newton Rhapson</w:t>
            </w:r>
            <w:r w:rsidR="00462643" w:rsidRPr="003C18B5">
              <w:rPr>
                <w:rFonts w:ascii="Arial" w:hAnsi="Arial" w:cs="Arial"/>
                <w:lang w:val="es-VE"/>
              </w:rPr>
              <w:t>, del campo de fuerza MM3</w:t>
            </w:r>
            <w:r w:rsidR="00DA5105" w:rsidRPr="003C18B5">
              <w:rPr>
                <w:rFonts w:ascii="Arial" w:hAnsi="Arial" w:cs="Arial"/>
                <w:lang w:val="es-VE"/>
              </w:rPr>
              <w:t xml:space="preserve"> </w:t>
            </w:r>
            <w:r w:rsidR="00DA5105" w:rsidRPr="003C18B5">
              <w:rPr>
                <w:rFonts w:ascii="Arial" w:hAnsi="Arial" w:cs="Arial"/>
                <w:lang w:val="es-VE"/>
              </w:rPr>
              <w:fldChar w:fldCharType="begin" w:fldLock="1"/>
            </w:r>
            <w:r w:rsidR="00DA5105" w:rsidRPr="003C18B5">
              <w:rPr>
                <w:rFonts w:ascii="Arial" w:hAnsi="Arial" w:cs="Arial"/>
                <w:lang w:val="es-VE"/>
              </w:rPr>
              <w:instrText>ADDIN CSL_CITATION { "citationItems" : [ { "id" : "ITEM-1", "itemData" : { "author" : [ { "dropping-particle" : "", "family" : "Allinger N; Lii HJ.", "given" : "", "non-dropping-particle" : "", "parse-names" : false, "suffix" : "" } ], "container-title" : "J Am Chem Soc", "id" : "ITEM-1", "issued" : { "date-parts" : [ [ "1989" ] ] }, "page" : "8551-8556", "title" : "Molecular mechanics. The MM3 force field for hydrocarbons.", "type" : "article-journal", "volume" : "111" }, "uris" : [ "http://www.mendeley.com/documents/?uuid=5170bbae-0b43-45dd-96ef-6fbc3bb223d1" ] } ], "mendeley" : { "formattedCitation" : "(Allinger N; Lii HJ., 1989)", "plainTextFormattedCitation" : "(Allinger N; Lii HJ., 1989)", "previouslyFormattedCitation" : "(Allinger N; Lii HJ., 1989)" }, "properties" : {  }, "schema" : "https://github.com/citation-style-language/schema/raw/master/csl-citation.json" }</w:instrText>
            </w:r>
            <w:r w:rsidR="00DA5105" w:rsidRPr="003C18B5">
              <w:rPr>
                <w:rFonts w:ascii="Arial" w:hAnsi="Arial" w:cs="Arial"/>
                <w:lang w:val="es-VE"/>
              </w:rPr>
              <w:fldChar w:fldCharType="separate"/>
            </w:r>
            <w:r w:rsidR="00DA5105" w:rsidRPr="003C18B5">
              <w:rPr>
                <w:rFonts w:ascii="Arial" w:hAnsi="Arial" w:cs="Arial"/>
                <w:noProof/>
                <w:lang w:val="es-VE"/>
              </w:rPr>
              <w:t>(Allinger N; Lii HJ., 1989)</w:t>
            </w:r>
            <w:r w:rsidR="00DA5105" w:rsidRPr="003C18B5">
              <w:rPr>
                <w:rFonts w:ascii="Arial" w:hAnsi="Arial" w:cs="Arial"/>
                <w:lang w:val="es-VE"/>
              </w:rPr>
              <w:fldChar w:fldCharType="end"/>
            </w:r>
            <w:r w:rsidR="00DA5105" w:rsidRPr="003C18B5">
              <w:rPr>
                <w:rFonts w:ascii="Arial" w:hAnsi="Arial" w:cs="Arial"/>
              </w:rPr>
              <w:t xml:space="preserve"> </w:t>
            </w:r>
            <w:r w:rsidR="00462643" w:rsidRPr="003C18B5">
              <w:rPr>
                <w:rFonts w:ascii="Arial" w:hAnsi="Arial" w:cs="Arial"/>
              </w:rPr>
              <w:t xml:space="preserve">para ambos métodos el </w:t>
            </w:r>
            <w:r w:rsidRPr="003C18B5">
              <w:rPr>
                <w:rFonts w:ascii="Arial" w:hAnsi="Arial" w:cs="Arial"/>
              </w:rPr>
              <w:t>cálculo se realizará</w:t>
            </w:r>
            <w:r w:rsidR="00462643" w:rsidRPr="003C18B5">
              <w:rPr>
                <w:rFonts w:ascii="Arial" w:hAnsi="Arial" w:cs="Arial"/>
              </w:rPr>
              <w:t xml:space="preserve"> hasta alcanzar la convergencia de 0.001 Kcal/mol.</w:t>
            </w:r>
            <w:r w:rsidRPr="003C18B5">
              <w:rPr>
                <w:rFonts w:ascii="Arial" w:hAnsi="Arial" w:cs="Arial"/>
                <w:lang w:val="es-VE"/>
              </w:rPr>
              <w:t xml:space="preserve"> Seguidamente se empleará</w:t>
            </w:r>
            <w:r w:rsidR="00462643" w:rsidRPr="003C18B5">
              <w:rPr>
                <w:rFonts w:ascii="Arial" w:hAnsi="Arial" w:cs="Arial"/>
                <w:lang w:val="es-VE"/>
              </w:rPr>
              <w:t xml:space="preserve"> el método químico-cuántico semiempírico </w:t>
            </w:r>
            <w:r w:rsidR="00C47631" w:rsidRPr="003C18B5">
              <w:rPr>
                <w:rFonts w:ascii="Arial" w:hAnsi="Arial" w:cs="Arial"/>
              </w:rPr>
              <w:t>AM1 en ArgusL</w:t>
            </w:r>
            <w:r w:rsidR="00462643" w:rsidRPr="003C18B5">
              <w:rPr>
                <w:rFonts w:ascii="Arial" w:hAnsi="Arial" w:cs="Arial"/>
              </w:rPr>
              <w:t>ab 4.0.1.</w:t>
            </w:r>
          </w:p>
          <w:p w:rsidR="00762CD9" w:rsidRPr="003C18B5" w:rsidRDefault="00462643" w:rsidP="004706DE">
            <w:pPr>
              <w:spacing w:before="120" w:after="120"/>
              <w:ind w:firstLine="567"/>
              <w:rPr>
                <w:rFonts w:ascii="Arial" w:hAnsi="Arial" w:cs="Arial"/>
              </w:rPr>
            </w:pPr>
            <w:r w:rsidRPr="003C18B5">
              <w:rPr>
                <w:rFonts w:ascii="Arial" w:hAnsi="Arial" w:cs="Arial"/>
              </w:rPr>
              <w:t>Para e</w:t>
            </w:r>
            <w:r w:rsidR="00647B23" w:rsidRPr="003C18B5">
              <w:rPr>
                <w:rFonts w:ascii="Arial" w:hAnsi="Arial" w:cs="Arial"/>
              </w:rPr>
              <w:t>l  estudio de Docking se utilizará</w:t>
            </w:r>
            <w:r w:rsidRPr="003C18B5">
              <w:rPr>
                <w:rFonts w:ascii="Arial" w:hAnsi="Arial" w:cs="Arial"/>
              </w:rPr>
              <w:t xml:space="preserve"> como sitio de unión de los ligandos la estructura cristalina de la β-hematina reportada en Cambridge Crystallographic Database REFCODE: XETXUP; a</w:t>
            </w:r>
            <w:r w:rsidR="00647B23" w:rsidRPr="003C18B5">
              <w:rPr>
                <w:rFonts w:ascii="Arial" w:hAnsi="Arial" w:cs="Arial"/>
              </w:rPr>
              <w:t>lrededor de la cual se construirá</w:t>
            </w:r>
            <w:r w:rsidRPr="003C18B5">
              <w:rPr>
                <w:rFonts w:ascii="Arial" w:hAnsi="Arial" w:cs="Arial"/>
              </w:rPr>
              <w:t xml:space="preserve"> una caja periódica</w:t>
            </w:r>
            <w:r w:rsidR="00647B23" w:rsidRPr="003C18B5">
              <w:rPr>
                <w:rFonts w:ascii="Arial" w:hAnsi="Arial" w:cs="Arial"/>
              </w:rPr>
              <w:t xml:space="preserve"> (20 x 20 x 20 Å)</w:t>
            </w:r>
            <w:r w:rsidRPr="003C18B5">
              <w:rPr>
                <w:rFonts w:ascii="Arial" w:hAnsi="Arial" w:cs="Arial"/>
              </w:rPr>
              <w:t xml:space="preserve">, sin </w:t>
            </w:r>
            <w:r w:rsidR="00647B23" w:rsidRPr="003C18B5">
              <w:rPr>
                <w:rFonts w:ascii="Arial" w:hAnsi="Arial" w:cs="Arial"/>
              </w:rPr>
              <w:t xml:space="preserve">y con </w:t>
            </w:r>
            <w:r w:rsidRPr="003C18B5">
              <w:rPr>
                <w:rFonts w:ascii="Arial" w:hAnsi="Arial" w:cs="Arial"/>
              </w:rPr>
              <w:t>moléculas de agua, permitiendo el análisis de hasta 150 pos</w:t>
            </w:r>
            <w:r w:rsidR="00647B23" w:rsidRPr="003C18B5">
              <w:rPr>
                <w:rFonts w:ascii="Arial" w:hAnsi="Arial" w:cs="Arial"/>
              </w:rPr>
              <w:t>es. Para éste estudio se utilizará</w:t>
            </w:r>
            <w:r w:rsidRPr="003C18B5">
              <w:rPr>
                <w:rFonts w:ascii="Arial" w:hAnsi="Arial" w:cs="Arial"/>
              </w:rPr>
              <w:t xml:space="preserve"> el modo ArgusDock de alta precisión con la opción de ligando flexible (Docking semiflexible) y el AScore como scornig function. </w:t>
            </w:r>
          </w:p>
          <w:p w:rsidR="00AA08CB" w:rsidRPr="004706DE" w:rsidRDefault="00647B23" w:rsidP="004706DE">
            <w:pPr>
              <w:jc w:val="center"/>
              <w:rPr>
                <w:rFonts w:ascii="Arial" w:hAnsi="Arial" w:cs="Arial"/>
              </w:rPr>
            </w:pPr>
            <w:r w:rsidRPr="003C18B5">
              <w:rPr>
                <w:rFonts w:ascii="Arial" w:hAnsi="Arial" w:cs="Arial"/>
                <w:noProof/>
                <w:lang w:val="es-EC" w:eastAsia="es-EC"/>
              </w:rPr>
              <w:drawing>
                <wp:inline distT="0" distB="0" distL="0" distR="0">
                  <wp:extent cx="5613400" cy="273050"/>
                  <wp:effectExtent l="0" t="0" r="0" b="0"/>
                  <wp:docPr id="111" name="Objeto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396875"/>
                            <a:chOff x="381000" y="2117725"/>
                            <a:chExt cx="8077200" cy="396875"/>
                          </a:xfrm>
                        </a:grpSpPr>
                        <a:sp>
                          <a:nvSpPr>
                            <a:cNvPr id="55306" name="Rectangle 10"/>
                            <a:cNvSpPr>
                              <a:spLocks noChangeArrowheads="1"/>
                            </a:cNvSpPr>
                          </a:nvSpPr>
                          <a:spPr bwMode="auto">
                            <a:xfrm>
                              <a:off x="381000" y="2117725"/>
                              <a:ext cx="8077200" cy="396875"/>
                            </a:xfrm>
                            <a:prstGeom prst="rect">
                              <a:avLst/>
                            </a:prstGeom>
                            <a:noFill/>
                            <a:ln w="9525">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Times New Roman" charset="0"/>
                                    <a:ea typeface="+mn-ea"/>
                                    <a:cs typeface="+mn-cs"/>
                                  </a:defRPr>
                                </a:lvl1pPr>
                                <a:lvl2pPr marL="457200" algn="ctr" rtl="0" fontAlgn="base">
                                  <a:spcBef>
                                    <a:spcPct val="0"/>
                                  </a:spcBef>
                                  <a:spcAft>
                                    <a:spcPct val="0"/>
                                  </a:spcAft>
                                  <a:defRPr sz="2400" kern="1200">
                                    <a:solidFill>
                                      <a:schemeClr val="tx1"/>
                                    </a:solidFill>
                                    <a:latin typeface="Times New Roman" charset="0"/>
                                    <a:ea typeface="+mn-ea"/>
                                    <a:cs typeface="+mn-cs"/>
                                  </a:defRPr>
                                </a:lvl2pPr>
                                <a:lvl3pPr marL="914400" algn="ctr" rtl="0" fontAlgn="base">
                                  <a:spcBef>
                                    <a:spcPct val="0"/>
                                  </a:spcBef>
                                  <a:spcAft>
                                    <a:spcPct val="0"/>
                                  </a:spcAft>
                                  <a:defRPr sz="2400" kern="1200">
                                    <a:solidFill>
                                      <a:schemeClr val="tx1"/>
                                    </a:solidFill>
                                    <a:latin typeface="Times New Roman" charset="0"/>
                                    <a:ea typeface="+mn-ea"/>
                                    <a:cs typeface="+mn-cs"/>
                                  </a:defRPr>
                                </a:lvl3pPr>
                                <a:lvl4pPr marL="1371600" algn="ctr" rtl="0" fontAlgn="base">
                                  <a:spcBef>
                                    <a:spcPct val="0"/>
                                  </a:spcBef>
                                  <a:spcAft>
                                    <a:spcPct val="0"/>
                                  </a:spcAft>
                                  <a:defRPr sz="2400" kern="1200">
                                    <a:solidFill>
                                      <a:schemeClr val="tx1"/>
                                    </a:solidFill>
                                    <a:latin typeface="Times New Roman" charset="0"/>
                                    <a:ea typeface="+mn-ea"/>
                                    <a:cs typeface="+mn-cs"/>
                                  </a:defRPr>
                                </a:lvl4pPr>
                                <a:lvl5pPr marL="1828800" algn="ctr"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pPr algn="l"/>
                                <a:r>
                                  <a:rPr lang="en-US" sz="2000" dirty="0" err="1">
                                    <a:latin typeface="Symbol" pitchFamily="18" charset="2"/>
                                    <a:cs typeface="Times New Roman" charset="0"/>
                                  </a:rPr>
                                  <a:t>D</a:t>
                                </a:r>
                                <a:r>
                                  <a:rPr lang="en-US" sz="2000" dirty="0" err="1">
                                    <a:cs typeface="Times New Roman" charset="0"/>
                                  </a:rPr>
                                  <a:t>G</a:t>
                                </a:r>
                                <a:r>
                                  <a:rPr lang="en-US" sz="2000" baseline="-30000" dirty="0" err="1">
                                    <a:cs typeface="Times New Roman" charset="0"/>
                                  </a:rPr>
                                  <a:t>bind</a:t>
                                </a:r>
                                <a:r>
                                  <a:rPr lang="en-US" sz="2000" dirty="0">
                                    <a:cs typeface="Times New Roman" charset="0"/>
                                  </a:rPr>
                                  <a:t> = </a:t>
                                </a:r>
                                <a:r>
                                  <a:rPr lang="en-US" sz="2000" dirty="0" err="1">
                                    <a:latin typeface="Symbol" pitchFamily="18" charset="2"/>
                                    <a:cs typeface="Times New Roman" charset="0"/>
                                  </a:rPr>
                                  <a:t>D</a:t>
                                </a:r>
                                <a:r>
                                  <a:rPr lang="en-US" sz="2000" dirty="0" err="1">
                                    <a:cs typeface="Times New Roman" charset="0"/>
                                  </a:rPr>
                                  <a:t>G</a:t>
                                </a:r>
                                <a:r>
                                  <a:rPr lang="en-US" sz="2000" baseline="-30000" dirty="0" err="1">
                                    <a:cs typeface="Times New Roman" charset="0"/>
                                  </a:rPr>
                                  <a:t>vdw</a:t>
                                </a:r>
                                <a:r>
                                  <a:rPr lang="en-US" sz="2000" dirty="0">
                                    <a:cs typeface="Times New Roman" charset="0"/>
                                  </a:rPr>
                                  <a:t> + </a:t>
                                </a:r>
                                <a:r>
                                  <a:rPr lang="en-US" sz="2000" dirty="0" err="1">
                                    <a:latin typeface="Symbol" pitchFamily="18" charset="2"/>
                                    <a:cs typeface="Times New Roman" charset="0"/>
                                  </a:rPr>
                                  <a:t>D</a:t>
                                </a:r>
                                <a:r>
                                  <a:rPr lang="en-US" sz="2000" dirty="0" err="1">
                                    <a:cs typeface="Times New Roman" charset="0"/>
                                  </a:rPr>
                                  <a:t>G</a:t>
                                </a:r>
                                <a:r>
                                  <a:rPr lang="en-US" sz="2000" baseline="-30000" dirty="0" err="1">
                                    <a:cs typeface="Times New Roman" charset="0"/>
                                  </a:rPr>
                                  <a:t>hydrophobic</a:t>
                                </a:r>
                                <a:r>
                                  <a:rPr lang="en-US" sz="2000" dirty="0">
                                    <a:cs typeface="Times New Roman" charset="0"/>
                                  </a:rPr>
                                  <a:t>  + </a:t>
                                </a:r>
                                <a:r>
                                  <a:rPr lang="en-US" sz="2000" dirty="0">
                                    <a:latin typeface="Symbol" pitchFamily="18" charset="2"/>
                                    <a:cs typeface="Times New Roman" charset="0"/>
                                  </a:rPr>
                                  <a:t>D</a:t>
                                </a:r>
                                <a:r>
                                  <a:rPr lang="en-US" sz="2000" dirty="0">
                                    <a:cs typeface="Times New Roman" charset="0"/>
                                  </a:rPr>
                                  <a:t>G</a:t>
                                </a:r>
                                <a:r>
                                  <a:rPr lang="en-US" sz="2000" baseline="-30000" dirty="0">
                                    <a:cs typeface="Times New Roman" charset="0"/>
                                  </a:rPr>
                                  <a:t>H-bond</a:t>
                                </a:r>
                                <a:r>
                                  <a:rPr lang="en-US" sz="2000" dirty="0">
                                    <a:cs typeface="Times New Roman" charset="0"/>
                                  </a:rPr>
                                  <a:t> + </a:t>
                                </a:r>
                                <a:r>
                                  <a:rPr lang="en-US" sz="2000" dirty="0">
                                    <a:latin typeface="Symbol" pitchFamily="18" charset="2"/>
                                    <a:cs typeface="Times New Roman" charset="0"/>
                                  </a:rPr>
                                  <a:t>D</a:t>
                                </a:r>
                                <a:r>
                                  <a:rPr lang="en-US" sz="2000" dirty="0">
                                    <a:cs typeface="Times New Roman" charset="0"/>
                                  </a:rPr>
                                  <a:t>G</a:t>
                                </a:r>
                                <a:r>
                                  <a:rPr lang="en-US" sz="2000" baseline="-30000" dirty="0">
                                    <a:cs typeface="Times New Roman" charset="0"/>
                                  </a:rPr>
                                  <a:t>H-bond (chg)</a:t>
                                </a:r>
                                <a:r>
                                  <a:rPr lang="en-US" sz="2000" dirty="0">
                                    <a:cs typeface="Times New Roman" charset="0"/>
                                  </a:rPr>
                                  <a:t> + </a:t>
                                </a:r>
                                <a:r>
                                  <a:rPr lang="en-US" sz="2000" dirty="0" err="1">
                                    <a:latin typeface="Symbol" pitchFamily="18" charset="2"/>
                                    <a:cs typeface="Times New Roman" charset="0"/>
                                  </a:rPr>
                                  <a:t>D</a:t>
                                </a:r>
                                <a:r>
                                  <a:rPr lang="en-US" sz="2000" dirty="0" err="1">
                                    <a:cs typeface="Times New Roman" charset="0"/>
                                  </a:rPr>
                                  <a:t>G</a:t>
                                </a:r>
                                <a:r>
                                  <a:rPr lang="en-US" sz="2000" baseline="-30000" dirty="0" err="1">
                                    <a:cs typeface="Times New Roman" charset="0"/>
                                  </a:rPr>
                                  <a:t>deformation</a:t>
                                </a:r>
                                <a:r>
                                  <a:rPr lang="en-US" sz="2000" dirty="0">
                                    <a:cs typeface="Times New Roman" charset="0"/>
                                  </a:rPr>
                                  <a:t> + </a:t>
                                </a:r>
                                <a:r>
                                  <a:rPr lang="en-US" sz="2000" dirty="0">
                                    <a:latin typeface="Symbol" pitchFamily="18" charset="2"/>
                                    <a:cs typeface="Times New Roman" charset="0"/>
                                  </a:rPr>
                                  <a:t>D</a:t>
                                </a:r>
                                <a:r>
                                  <a:rPr lang="en-US" sz="2000" dirty="0">
                                    <a:cs typeface="Times New Roman" charset="0"/>
                                  </a:rPr>
                                  <a:t>G</a:t>
                                </a:r>
                                <a:r>
                                  <a:rPr lang="en-US" sz="2000" baseline="-30000" dirty="0">
                                    <a:cs typeface="Times New Roman" charset="0"/>
                                  </a:rPr>
                                  <a:t>0</a:t>
                                </a:r>
                                <a:r>
                                  <a:rPr lang="en-US" sz="600" dirty="0"/>
                                  <a:t> </a:t>
                                </a:r>
                                <a:endParaRPr lang="en-US" dirty="0"/>
                              </a:p>
                            </a:txBody>
                            <a:useSpRect/>
                          </a:txSp>
                        </a:sp>
                      </lc:lockedCanvas>
                    </a:graphicData>
                  </a:graphic>
                </wp:inline>
              </w:drawing>
            </w:r>
          </w:p>
        </w:tc>
      </w:tr>
    </w:tbl>
    <w:p w:rsidR="00013B83" w:rsidRPr="003C18B5" w:rsidRDefault="00013B83" w:rsidP="00F635FC">
      <w:pPr>
        <w:rPr>
          <w:rFonts w:ascii="Arial" w:hAnsi="Arial" w:cs="Arial"/>
          <w:b/>
        </w:rPr>
      </w:pPr>
    </w:p>
    <w:tbl>
      <w:tblPr>
        <w:tblStyle w:val="Tablaconcuadrcula"/>
        <w:tblW w:w="9606" w:type="dxa"/>
        <w:tblLayout w:type="fixed"/>
        <w:tblLook w:val="04A0"/>
      </w:tblPr>
      <w:tblGrid>
        <w:gridCol w:w="9606"/>
      </w:tblGrid>
      <w:tr w:rsidR="008F3B2C" w:rsidRPr="003C18B5" w:rsidTr="002048FF">
        <w:trPr>
          <w:trHeight w:val="261"/>
        </w:trPr>
        <w:tc>
          <w:tcPr>
            <w:tcW w:w="9606" w:type="dxa"/>
            <w:shd w:val="clear" w:color="auto" w:fill="9CC2E5" w:themeFill="accent1" w:themeFillTint="99"/>
            <w:vAlign w:val="bottom"/>
          </w:tcPr>
          <w:p w:rsidR="008F3B2C" w:rsidRPr="003C18B5" w:rsidRDefault="008F3B2C" w:rsidP="005742D4">
            <w:pPr>
              <w:spacing w:after="0"/>
              <w:rPr>
                <w:rFonts w:ascii="Arial" w:hAnsi="Arial" w:cs="Arial"/>
              </w:rPr>
            </w:pPr>
            <w:r w:rsidRPr="003C18B5">
              <w:rPr>
                <w:rFonts w:ascii="Arial" w:hAnsi="Arial" w:cs="Arial"/>
              </w:rPr>
              <w:t>10.2.- Sujeto</w:t>
            </w:r>
            <w:r w:rsidR="00F9400E" w:rsidRPr="003C18B5">
              <w:rPr>
                <w:rFonts w:ascii="Arial" w:hAnsi="Arial" w:cs="Arial"/>
              </w:rPr>
              <w:t>s</w:t>
            </w:r>
            <w:r w:rsidRPr="003C18B5">
              <w:rPr>
                <w:rFonts w:ascii="Arial" w:hAnsi="Arial" w:cs="Arial"/>
              </w:rPr>
              <w:t xml:space="preserve"> y Tamaño de la Muestra </w:t>
            </w:r>
          </w:p>
          <w:p w:rsidR="008F3B2C" w:rsidRPr="003C18B5" w:rsidRDefault="002B569B" w:rsidP="005742D4">
            <w:pPr>
              <w:spacing w:after="0"/>
              <w:rPr>
                <w:rFonts w:ascii="Arial" w:hAnsi="Arial" w:cs="Arial"/>
                <w:i/>
              </w:rPr>
            </w:pPr>
            <w:r w:rsidRPr="003C18B5">
              <w:rPr>
                <w:rFonts w:ascii="Arial" w:hAnsi="Arial" w:cs="Arial"/>
                <w:i/>
              </w:rPr>
              <w:t>(</w:t>
            </w:r>
            <w:r w:rsidR="00013B83" w:rsidRPr="003C18B5">
              <w:rPr>
                <w:rFonts w:ascii="Arial" w:hAnsi="Arial" w:cs="Arial"/>
                <w:i/>
              </w:rPr>
              <w:t xml:space="preserve">Es mandatorio en proyectos </w:t>
            </w:r>
            <w:r w:rsidRPr="003C18B5">
              <w:rPr>
                <w:rFonts w:ascii="Arial" w:hAnsi="Arial" w:cs="Arial"/>
                <w:i/>
              </w:rPr>
              <w:t>con seres vivos</w:t>
            </w:r>
            <w:r w:rsidR="00AE76C9" w:rsidRPr="003C18B5">
              <w:rPr>
                <w:rFonts w:ascii="Arial" w:hAnsi="Arial" w:cs="Arial"/>
                <w:i/>
              </w:rPr>
              <w:t>,</w:t>
            </w:r>
            <w:r w:rsidR="001F6CDB" w:rsidRPr="003C18B5">
              <w:rPr>
                <w:rFonts w:ascii="Arial" w:hAnsi="Arial" w:cs="Arial"/>
                <w:i/>
              </w:rPr>
              <w:t xml:space="preserve"> </w:t>
            </w:r>
            <w:r w:rsidR="005742D4" w:rsidRPr="003C18B5">
              <w:rPr>
                <w:rFonts w:ascii="Arial" w:hAnsi="Arial" w:cs="Arial"/>
                <w:i/>
              </w:rPr>
              <w:t>explicar cómo se calcu</w:t>
            </w:r>
            <w:r w:rsidRPr="003C18B5">
              <w:rPr>
                <w:rFonts w:ascii="Arial" w:hAnsi="Arial" w:cs="Arial"/>
                <w:i/>
              </w:rPr>
              <w:t xml:space="preserve">ló la muestra, poner fórmulas. </w:t>
            </w:r>
            <w:r w:rsidR="005742D4" w:rsidRPr="003C18B5">
              <w:rPr>
                <w:rFonts w:ascii="Arial" w:hAnsi="Arial" w:cs="Arial"/>
                <w:i/>
              </w:rPr>
              <w:t>Si trabaja con el univer</w:t>
            </w:r>
            <w:r w:rsidR="006A070C" w:rsidRPr="003C18B5">
              <w:rPr>
                <w:rFonts w:ascii="Arial" w:hAnsi="Arial" w:cs="Arial"/>
                <w:i/>
              </w:rPr>
              <w:t>so indicar el número de sujetos</w:t>
            </w:r>
            <w:r w:rsidR="008F3B2C" w:rsidRPr="003C18B5">
              <w:rPr>
                <w:rFonts w:ascii="Arial" w:hAnsi="Arial" w:cs="Arial"/>
                <w:i/>
              </w:rPr>
              <w:t xml:space="preserve">) </w:t>
            </w:r>
            <w:r w:rsidRPr="003C18B5">
              <w:rPr>
                <w:rFonts w:ascii="Arial" w:hAnsi="Arial" w:cs="Arial"/>
                <w:i/>
              </w:rPr>
              <w:t xml:space="preserve"> (SI no aplica ponga no aplica)</w:t>
            </w:r>
          </w:p>
        </w:tc>
      </w:tr>
      <w:tr w:rsidR="008F3B2C" w:rsidRPr="003C18B5" w:rsidTr="00254D5C">
        <w:trPr>
          <w:trHeight w:val="548"/>
        </w:trPr>
        <w:tc>
          <w:tcPr>
            <w:tcW w:w="9606" w:type="dxa"/>
            <w:vAlign w:val="center"/>
          </w:tcPr>
          <w:p w:rsidR="008F3B2C" w:rsidRPr="003C18B5" w:rsidRDefault="00AA08CB" w:rsidP="00254D5C">
            <w:pPr>
              <w:spacing w:before="120" w:after="120"/>
              <w:jc w:val="center"/>
              <w:rPr>
                <w:rFonts w:ascii="Arial" w:hAnsi="Arial" w:cs="Arial"/>
              </w:rPr>
            </w:pPr>
            <w:r w:rsidRPr="003C18B5">
              <w:rPr>
                <w:rFonts w:ascii="Arial" w:hAnsi="Arial" w:cs="Arial"/>
              </w:rPr>
              <w:t>No aplica</w:t>
            </w:r>
          </w:p>
        </w:tc>
      </w:tr>
    </w:tbl>
    <w:p w:rsidR="002048FF" w:rsidRDefault="002048FF" w:rsidP="00F635FC">
      <w:pPr>
        <w:rPr>
          <w:rFonts w:ascii="Arial" w:hAnsi="Arial" w:cs="Arial"/>
          <w:b/>
        </w:rPr>
      </w:pPr>
    </w:p>
    <w:p w:rsidR="00C0463A" w:rsidRDefault="00C0463A" w:rsidP="00F635FC">
      <w:pPr>
        <w:rPr>
          <w:rFonts w:ascii="Arial" w:hAnsi="Arial" w:cs="Arial"/>
          <w:b/>
        </w:rPr>
      </w:pPr>
    </w:p>
    <w:p w:rsidR="00C0463A" w:rsidRDefault="00C0463A" w:rsidP="00F635FC">
      <w:pPr>
        <w:rPr>
          <w:rFonts w:ascii="Arial" w:hAnsi="Arial" w:cs="Arial"/>
          <w:b/>
        </w:rPr>
      </w:pPr>
    </w:p>
    <w:p w:rsidR="00C0463A" w:rsidRDefault="00C0463A" w:rsidP="00F635FC">
      <w:pPr>
        <w:rPr>
          <w:rFonts w:ascii="Arial" w:hAnsi="Arial" w:cs="Arial"/>
          <w:b/>
        </w:rPr>
      </w:pPr>
    </w:p>
    <w:p w:rsidR="00C0463A" w:rsidRDefault="00C0463A" w:rsidP="00F635FC">
      <w:pPr>
        <w:rPr>
          <w:rFonts w:ascii="Arial" w:hAnsi="Arial" w:cs="Arial"/>
          <w:b/>
        </w:rPr>
      </w:pPr>
    </w:p>
    <w:p w:rsidR="00C0463A" w:rsidRDefault="00C0463A" w:rsidP="00F635FC">
      <w:pPr>
        <w:rPr>
          <w:rFonts w:ascii="Arial" w:hAnsi="Arial" w:cs="Arial"/>
          <w:b/>
        </w:rPr>
      </w:pPr>
    </w:p>
    <w:p w:rsidR="00C0463A" w:rsidRDefault="00C0463A" w:rsidP="00F635FC">
      <w:pPr>
        <w:rPr>
          <w:rFonts w:ascii="Arial" w:hAnsi="Arial" w:cs="Arial"/>
          <w:b/>
        </w:rPr>
      </w:pPr>
    </w:p>
    <w:p w:rsidR="00C0463A" w:rsidRDefault="00C0463A" w:rsidP="00F635FC">
      <w:pPr>
        <w:rPr>
          <w:rFonts w:ascii="Arial" w:hAnsi="Arial" w:cs="Arial"/>
          <w:b/>
        </w:rPr>
      </w:pPr>
    </w:p>
    <w:p w:rsidR="00C0463A" w:rsidRDefault="00C0463A" w:rsidP="00F635FC">
      <w:pPr>
        <w:rPr>
          <w:rFonts w:ascii="Arial" w:hAnsi="Arial" w:cs="Arial"/>
          <w:b/>
        </w:rPr>
      </w:pPr>
    </w:p>
    <w:tbl>
      <w:tblPr>
        <w:tblStyle w:val="Tablaconcuadrcula"/>
        <w:tblW w:w="9606" w:type="dxa"/>
        <w:tblLayout w:type="fixed"/>
        <w:tblLook w:val="04A0"/>
      </w:tblPr>
      <w:tblGrid>
        <w:gridCol w:w="9606"/>
      </w:tblGrid>
      <w:tr w:rsidR="00E776DF" w:rsidRPr="003C18B5" w:rsidTr="00251EE6">
        <w:trPr>
          <w:trHeight w:val="261"/>
        </w:trPr>
        <w:tc>
          <w:tcPr>
            <w:tcW w:w="9606" w:type="dxa"/>
            <w:shd w:val="clear" w:color="auto" w:fill="9CC2E5" w:themeFill="accent1" w:themeFillTint="99"/>
            <w:vAlign w:val="bottom"/>
          </w:tcPr>
          <w:p w:rsidR="00E776DF" w:rsidRPr="003C18B5" w:rsidRDefault="00E776DF" w:rsidP="00E776DF">
            <w:pPr>
              <w:spacing w:after="0"/>
              <w:rPr>
                <w:rFonts w:ascii="Arial" w:hAnsi="Arial" w:cs="Arial"/>
              </w:rPr>
            </w:pPr>
            <w:r w:rsidRPr="003C18B5">
              <w:rPr>
                <w:rFonts w:ascii="Arial" w:hAnsi="Arial" w:cs="Arial"/>
              </w:rPr>
              <w:lastRenderedPageBreak/>
              <w:t xml:space="preserve">10.3.- Definición y medición de variables </w:t>
            </w:r>
          </w:p>
          <w:p w:rsidR="00E776DF" w:rsidRPr="003C18B5" w:rsidRDefault="00E776DF" w:rsidP="00E776DF">
            <w:pPr>
              <w:spacing w:after="0"/>
              <w:rPr>
                <w:rFonts w:ascii="Arial" w:hAnsi="Arial" w:cs="Arial"/>
                <w:i/>
              </w:rPr>
            </w:pPr>
            <w:r w:rsidRPr="003C18B5">
              <w:rPr>
                <w:rFonts w:ascii="Arial" w:hAnsi="Arial" w:cs="Arial"/>
                <w:i/>
              </w:rPr>
              <w:t>(Describa claramente todas las variables a investigar, sus dimensiones, los instrumentos)</w:t>
            </w:r>
            <w:r>
              <w:rPr>
                <w:rFonts w:ascii="Arial" w:hAnsi="Arial" w:cs="Arial"/>
                <w:i/>
              </w:rPr>
              <w:t xml:space="preserve"> </w:t>
            </w:r>
          </w:p>
        </w:tc>
      </w:tr>
      <w:tr w:rsidR="00E776DF" w:rsidRPr="003C18B5" w:rsidTr="00251EE6">
        <w:trPr>
          <w:trHeight w:val="548"/>
        </w:trPr>
        <w:tc>
          <w:tcPr>
            <w:tcW w:w="9606" w:type="dxa"/>
            <w:vAlign w:val="center"/>
          </w:tcPr>
          <w:tbl>
            <w:tblPr>
              <w:tblStyle w:val="Tablaconcuadrcula"/>
              <w:tblW w:w="9375" w:type="dxa"/>
              <w:tblLayout w:type="fixed"/>
              <w:tblLook w:val="04A0"/>
            </w:tblPr>
            <w:tblGrid>
              <w:gridCol w:w="1875"/>
              <w:gridCol w:w="1635"/>
              <w:gridCol w:w="1843"/>
              <w:gridCol w:w="1701"/>
              <w:gridCol w:w="2321"/>
            </w:tblGrid>
            <w:tr w:rsidR="00B93EE5" w:rsidRPr="002C2254" w:rsidTr="00B93EE5">
              <w:tc>
                <w:tcPr>
                  <w:tcW w:w="1875" w:type="dxa"/>
                  <w:tcBorders>
                    <w:top w:val="single" w:sz="18" w:space="0" w:color="auto"/>
                    <w:left w:val="nil"/>
                    <w:bottom w:val="single" w:sz="18" w:space="0" w:color="auto"/>
                    <w:right w:val="nil"/>
                  </w:tcBorders>
                  <w:shd w:val="clear" w:color="auto" w:fill="F2F2F2" w:themeFill="background1" w:themeFillShade="F2"/>
                  <w:vAlign w:val="center"/>
                </w:tcPr>
                <w:p w:rsidR="00C0463A" w:rsidRPr="002C2254" w:rsidRDefault="00C0463A" w:rsidP="00251EE6">
                  <w:pPr>
                    <w:spacing w:before="120" w:after="120"/>
                    <w:jc w:val="center"/>
                    <w:rPr>
                      <w:rFonts w:ascii="Arial" w:hAnsi="Arial" w:cs="Arial"/>
                      <w:b/>
                      <w:sz w:val="18"/>
                      <w:szCs w:val="18"/>
                    </w:rPr>
                  </w:pPr>
                  <w:r w:rsidRPr="002C2254">
                    <w:rPr>
                      <w:rFonts w:ascii="Arial" w:hAnsi="Arial" w:cs="Arial"/>
                      <w:b/>
                      <w:sz w:val="18"/>
                      <w:szCs w:val="18"/>
                    </w:rPr>
                    <w:t>Variable</w:t>
                  </w:r>
                </w:p>
              </w:tc>
              <w:tc>
                <w:tcPr>
                  <w:tcW w:w="1635" w:type="dxa"/>
                  <w:tcBorders>
                    <w:top w:val="single" w:sz="18" w:space="0" w:color="auto"/>
                    <w:left w:val="nil"/>
                    <w:bottom w:val="single" w:sz="18" w:space="0" w:color="auto"/>
                    <w:right w:val="nil"/>
                  </w:tcBorders>
                  <w:shd w:val="clear" w:color="auto" w:fill="F2F2F2" w:themeFill="background1" w:themeFillShade="F2"/>
                  <w:vAlign w:val="center"/>
                </w:tcPr>
                <w:p w:rsidR="00C0463A" w:rsidRPr="002C2254" w:rsidRDefault="00C0463A" w:rsidP="00251EE6">
                  <w:pPr>
                    <w:spacing w:before="120" w:after="120"/>
                    <w:jc w:val="center"/>
                    <w:rPr>
                      <w:rFonts w:ascii="Arial" w:hAnsi="Arial" w:cs="Arial"/>
                      <w:b/>
                      <w:sz w:val="18"/>
                      <w:szCs w:val="18"/>
                    </w:rPr>
                  </w:pPr>
                  <w:r w:rsidRPr="002C2254">
                    <w:rPr>
                      <w:rFonts w:ascii="Arial" w:hAnsi="Arial" w:cs="Arial"/>
                      <w:b/>
                      <w:sz w:val="18"/>
                      <w:szCs w:val="18"/>
                    </w:rPr>
                    <w:t>Dimensión</w:t>
                  </w:r>
                </w:p>
              </w:tc>
              <w:tc>
                <w:tcPr>
                  <w:tcW w:w="1843" w:type="dxa"/>
                  <w:tcBorders>
                    <w:top w:val="single" w:sz="18" w:space="0" w:color="auto"/>
                    <w:left w:val="nil"/>
                    <w:bottom w:val="single" w:sz="18" w:space="0" w:color="auto"/>
                    <w:right w:val="nil"/>
                  </w:tcBorders>
                  <w:shd w:val="clear" w:color="auto" w:fill="F2F2F2" w:themeFill="background1" w:themeFillShade="F2"/>
                  <w:vAlign w:val="center"/>
                </w:tcPr>
                <w:p w:rsidR="00C0463A" w:rsidRPr="002C2254" w:rsidRDefault="00C0463A" w:rsidP="00251EE6">
                  <w:pPr>
                    <w:spacing w:before="120" w:after="120"/>
                    <w:jc w:val="center"/>
                    <w:rPr>
                      <w:rFonts w:ascii="Arial" w:hAnsi="Arial" w:cs="Arial"/>
                      <w:b/>
                      <w:sz w:val="18"/>
                      <w:szCs w:val="18"/>
                    </w:rPr>
                  </w:pPr>
                  <w:r w:rsidRPr="002C2254">
                    <w:rPr>
                      <w:rFonts w:ascii="Arial" w:hAnsi="Arial" w:cs="Arial"/>
                      <w:b/>
                      <w:sz w:val="18"/>
                      <w:szCs w:val="18"/>
                    </w:rPr>
                    <w:t>Subdimensión</w:t>
                  </w:r>
                </w:p>
              </w:tc>
              <w:tc>
                <w:tcPr>
                  <w:tcW w:w="1701" w:type="dxa"/>
                  <w:tcBorders>
                    <w:top w:val="single" w:sz="18" w:space="0" w:color="auto"/>
                    <w:left w:val="nil"/>
                    <w:bottom w:val="single" w:sz="18" w:space="0" w:color="auto"/>
                    <w:right w:val="nil"/>
                  </w:tcBorders>
                  <w:shd w:val="clear" w:color="auto" w:fill="F2F2F2" w:themeFill="background1" w:themeFillShade="F2"/>
                  <w:vAlign w:val="center"/>
                </w:tcPr>
                <w:p w:rsidR="00C0463A" w:rsidRPr="002C2254" w:rsidRDefault="00C0463A" w:rsidP="00251EE6">
                  <w:pPr>
                    <w:spacing w:before="120" w:after="120"/>
                    <w:jc w:val="center"/>
                    <w:rPr>
                      <w:rFonts w:ascii="Arial" w:hAnsi="Arial" w:cs="Arial"/>
                      <w:b/>
                      <w:sz w:val="18"/>
                      <w:szCs w:val="18"/>
                    </w:rPr>
                  </w:pPr>
                  <w:r w:rsidRPr="002C2254">
                    <w:rPr>
                      <w:rFonts w:ascii="Arial" w:hAnsi="Arial" w:cs="Arial"/>
                      <w:b/>
                      <w:sz w:val="18"/>
                      <w:szCs w:val="18"/>
                    </w:rPr>
                    <w:t>Indicador</w:t>
                  </w:r>
                </w:p>
              </w:tc>
              <w:tc>
                <w:tcPr>
                  <w:tcW w:w="2321" w:type="dxa"/>
                  <w:tcBorders>
                    <w:top w:val="single" w:sz="18" w:space="0" w:color="auto"/>
                    <w:left w:val="nil"/>
                    <w:bottom w:val="single" w:sz="18" w:space="0" w:color="auto"/>
                    <w:right w:val="nil"/>
                  </w:tcBorders>
                  <w:shd w:val="clear" w:color="auto" w:fill="F2F2F2" w:themeFill="background1" w:themeFillShade="F2"/>
                  <w:vAlign w:val="center"/>
                </w:tcPr>
                <w:p w:rsidR="00C0463A" w:rsidRPr="002C2254" w:rsidRDefault="00C0463A" w:rsidP="00251EE6">
                  <w:pPr>
                    <w:spacing w:before="120" w:after="120"/>
                    <w:jc w:val="center"/>
                    <w:rPr>
                      <w:rFonts w:ascii="Arial" w:hAnsi="Arial" w:cs="Arial"/>
                      <w:b/>
                      <w:sz w:val="18"/>
                      <w:szCs w:val="18"/>
                    </w:rPr>
                  </w:pPr>
                  <w:r w:rsidRPr="002C2254">
                    <w:rPr>
                      <w:rFonts w:ascii="Arial" w:hAnsi="Arial" w:cs="Arial"/>
                      <w:b/>
                      <w:sz w:val="18"/>
                      <w:szCs w:val="18"/>
                    </w:rPr>
                    <w:t>Materiales / Instrumentos</w:t>
                  </w:r>
                </w:p>
              </w:tc>
            </w:tr>
            <w:tr w:rsidR="00BC1D78" w:rsidRPr="002C2254" w:rsidTr="00B93EE5">
              <w:trPr>
                <w:trHeight w:val="1645"/>
              </w:trPr>
              <w:tc>
                <w:tcPr>
                  <w:tcW w:w="1875" w:type="dxa"/>
                  <w:vMerge w:val="restart"/>
                  <w:tcBorders>
                    <w:top w:val="single" w:sz="18" w:space="0" w:color="auto"/>
                    <w:left w:val="nil"/>
                    <w:right w:val="nil"/>
                  </w:tcBorders>
                  <w:vAlign w:val="center"/>
                </w:tcPr>
                <w:p w:rsidR="00C0463A" w:rsidRPr="002C2254" w:rsidRDefault="00C0463A" w:rsidP="00251EE6">
                  <w:pPr>
                    <w:spacing w:before="120" w:after="120"/>
                    <w:jc w:val="center"/>
                    <w:rPr>
                      <w:rFonts w:ascii="Arial" w:hAnsi="Arial" w:cs="Arial"/>
                      <w:sz w:val="18"/>
                      <w:szCs w:val="18"/>
                    </w:rPr>
                  </w:pPr>
                  <w:r w:rsidRPr="002C2254">
                    <w:rPr>
                      <w:rFonts w:ascii="Arial" w:hAnsi="Arial" w:cs="Arial"/>
                      <w:sz w:val="18"/>
                      <w:szCs w:val="18"/>
                    </w:rPr>
                    <w:t>Síntesis química</w:t>
                  </w:r>
                </w:p>
              </w:tc>
              <w:tc>
                <w:tcPr>
                  <w:tcW w:w="1635" w:type="dxa"/>
                  <w:vMerge w:val="restart"/>
                  <w:tcBorders>
                    <w:top w:val="single" w:sz="18" w:space="0" w:color="auto"/>
                    <w:left w:val="nil"/>
                    <w:right w:val="nil"/>
                  </w:tcBorders>
                  <w:vAlign w:val="center"/>
                </w:tcPr>
                <w:p w:rsidR="00C0463A" w:rsidRPr="002C2254" w:rsidRDefault="00C0463A" w:rsidP="00251EE6">
                  <w:pPr>
                    <w:spacing w:before="120" w:after="120"/>
                    <w:jc w:val="center"/>
                    <w:rPr>
                      <w:rFonts w:ascii="Arial" w:hAnsi="Arial" w:cs="Arial"/>
                      <w:sz w:val="18"/>
                      <w:szCs w:val="18"/>
                    </w:rPr>
                  </w:pPr>
                  <w:r w:rsidRPr="002C2254">
                    <w:rPr>
                      <w:rFonts w:ascii="Arial" w:hAnsi="Arial" w:cs="Arial"/>
                      <w:sz w:val="18"/>
                      <w:szCs w:val="18"/>
                    </w:rPr>
                    <w:t>Método de síntesis</w:t>
                  </w:r>
                </w:p>
              </w:tc>
              <w:tc>
                <w:tcPr>
                  <w:tcW w:w="1843" w:type="dxa"/>
                  <w:tcBorders>
                    <w:top w:val="single" w:sz="18" w:space="0" w:color="auto"/>
                    <w:left w:val="nil"/>
                    <w:right w:val="nil"/>
                  </w:tcBorders>
                  <w:vAlign w:val="center"/>
                </w:tcPr>
                <w:p w:rsidR="00C0463A" w:rsidRPr="002C2254" w:rsidRDefault="00C0463A" w:rsidP="00251EE6">
                  <w:pPr>
                    <w:spacing w:before="120" w:after="120"/>
                    <w:jc w:val="center"/>
                    <w:rPr>
                      <w:rFonts w:ascii="Arial" w:hAnsi="Arial" w:cs="Arial"/>
                      <w:sz w:val="18"/>
                      <w:szCs w:val="18"/>
                    </w:rPr>
                  </w:pPr>
                  <w:r w:rsidRPr="002C2254">
                    <w:rPr>
                      <w:rFonts w:ascii="Arial" w:hAnsi="Arial" w:cs="Arial"/>
                      <w:sz w:val="18"/>
                      <w:szCs w:val="18"/>
                    </w:rPr>
                    <w:t>Síntesis tradicional</w:t>
                  </w:r>
                </w:p>
              </w:tc>
              <w:tc>
                <w:tcPr>
                  <w:tcW w:w="1701" w:type="dxa"/>
                  <w:vMerge w:val="restart"/>
                  <w:tcBorders>
                    <w:top w:val="single" w:sz="18" w:space="0" w:color="auto"/>
                    <w:left w:val="nil"/>
                    <w:right w:val="nil"/>
                  </w:tcBorders>
                  <w:vAlign w:val="center"/>
                </w:tcPr>
                <w:p w:rsidR="00C0463A" w:rsidRPr="002C2254" w:rsidRDefault="00C0463A" w:rsidP="00C0463A">
                  <w:pPr>
                    <w:pStyle w:val="Prrafodelista"/>
                    <w:numPr>
                      <w:ilvl w:val="0"/>
                      <w:numId w:val="12"/>
                    </w:numPr>
                    <w:spacing w:before="120" w:after="120"/>
                    <w:ind w:left="216" w:hanging="216"/>
                    <w:rPr>
                      <w:rFonts w:ascii="Arial" w:hAnsi="Arial" w:cs="Arial"/>
                      <w:sz w:val="18"/>
                      <w:szCs w:val="18"/>
                    </w:rPr>
                  </w:pPr>
                  <w:r w:rsidRPr="002C2254">
                    <w:rPr>
                      <w:rFonts w:ascii="Arial" w:hAnsi="Arial" w:cs="Arial"/>
                      <w:sz w:val="18"/>
                      <w:szCs w:val="18"/>
                    </w:rPr>
                    <w:t>TLC</w:t>
                  </w:r>
                </w:p>
                <w:p w:rsidR="00C0463A" w:rsidRPr="002C2254" w:rsidRDefault="00C0463A" w:rsidP="00C0463A">
                  <w:pPr>
                    <w:pStyle w:val="Prrafodelista"/>
                    <w:numPr>
                      <w:ilvl w:val="0"/>
                      <w:numId w:val="12"/>
                    </w:numPr>
                    <w:spacing w:before="120" w:after="120"/>
                    <w:ind w:left="216" w:hanging="216"/>
                    <w:rPr>
                      <w:rFonts w:ascii="Arial" w:hAnsi="Arial" w:cs="Arial"/>
                      <w:sz w:val="18"/>
                      <w:szCs w:val="18"/>
                    </w:rPr>
                  </w:pPr>
                  <w:r w:rsidRPr="002C2254">
                    <w:rPr>
                      <w:rFonts w:ascii="Arial" w:hAnsi="Arial" w:cs="Arial"/>
                      <w:sz w:val="18"/>
                      <w:szCs w:val="18"/>
                    </w:rPr>
                    <w:t>Infrarrojo</w:t>
                  </w:r>
                </w:p>
                <w:p w:rsidR="00C0463A" w:rsidRPr="002C2254" w:rsidRDefault="00C0463A" w:rsidP="00C0463A">
                  <w:pPr>
                    <w:pStyle w:val="Prrafodelista"/>
                    <w:numPr>
                      <w:ilvl w:val="0"/>
                      <w:numId w:val="12"/>
                    </w:numPr>
                    <w:spacing w:before="120" w:after="120"/>
                    <w:ind w:left="216" w:hanging="216"/>
                    <w:rPr>
                      <w:rFonts w:ascii="Arial" w:hAnsi="Arial" w:cs="Arial"/>
                      <w:sz w:val="18"/>
                      <w:szCs w:val="18"/>
                    </w:rPr>
                  </w:pPr>
                  <w:r w:rsidRPr="002C2254">
                    <w:rPr>
                      <w:rFonts w:ascii="Arial" w:hAnsi="Arial" w:cs="Arial"/>
                      <w:sz w:val="18"/>
                      <w:szCs w:val="18"/>
                    </w:rPr>
                    <w:t>Rendimiento de reacción</w:t>
                  </w:r>
                </w:p>
                <w:p w:rsidR="00C0463A" w:rsidRPr="002C2254" w:rsidRDefault="00C0463A" w:rsidP="00C0463A">
                  <w:pPr>
                    <w:pStyle w:val="Prrafodelista"/>
                    <w:numPr>
                      <w:ilvl w:val="0"/>
                      <w:numId w:val="12"/>
                    </w:numPr>
                    <w:spacing w:before="120" w:after="120"/>
                    <w:ind w:left="215" w:hanging="215"/>
                    <w:rPr>
                      <w:rFonts w:ascii="Arial" w:hAnsi="Arial" w:cs="Arial"/>
                      <w:sz w:val="18"/>
                      <w:szCs w:val="18"/>
                    </w:rPr>
                  </w:pPr>
                  <w:r w:rsidRPr="002C2254">
                    <w:rPr>
                      <w:rFonts w:ascii="Arial" w:hAnsi="Arial" w:cs="Arial"/>
                      <w:sz w:val="18"/>
                      <w:szCs w:val="18"/>
                    </w:rPr>
                    <w:t>RMN</w:t>
                  </w:r>
                </w:p>
              </w:tc>
              <w:tc>
                <w:tcPr>
                  <w:tcW w:w="2321" w:type="dxa"/>
                  <w:vMerge w:val="restart"/>
                  <w:tcBorders>
                    <w:top w:val="single" w:sz="18" w:space="0" w:color="auto"/>
                    <w:left w:val="nil"/>
                    <w:right w:val="nil"/>
                  </w:tcBorders>
                  <w:vAlign w:val="center"/>
                </w:tcPr>
                <w:p w:rsidR="00C0463A" w:rsidRPr="002C2254" w:rsidRDefault="00C0463A" w:rsidP="00C0463A">
                  <w:pPr>
                    <w:pStyle w:val="Prrafodelista"/>
                    <w:numPr>
                      <w:ilvl w:val="0"/>
                      <w:numId w:val="12"/>
                    </w:numPr>
                    <w:spacing w:before="120" w:after="120"/>
                    <w:ind w:left="184" w:hanging="184"/>
                    <w:rPr>
                      <w:rFonts w:ascii="Arial" w:hAnsi="Arial" w:cs="Arial"/>
                      <w:sz w:val="18"/>
                      <w:szCs w:val="18"/>
                    </w:rPr>
                  </w:pPr>
                  <w:r w:rsidRPr="002C2254">
                    <w:rPr>
                      <w:rFonts w:ascii="Arial" w:hAnsi="Arial" w:cs="Arial"/>
                      <w:sz w:val="18"/>
                      <w:szCs w:val="18"/>
                    </w:rPr>
                    <w:t>Balones de reacción / Plancha calentadora y agitadora / Agitadores magnéticos</w:t>
                  </w:r>
                </w:p>
                <w:p w:rsidR="00C0463A" w:rsidRPr="002C2254" w:rsidRDefault="00C0463A" w:rsidP="00C0463A">
                  <w:pPr>
                    <w:pStyle w:val="Prrafodelista"/>
                    <w:numPr>
                      <w:ilvl w:val="0"/>
                      <w:numId w:val="12"/>
                    </w:numPr>
                    <w:spacing w:before="120" w:after="120"/>
                    <w:ind w:left="184" w:hanging="184"/>
                    <w:rPr>
                      <w:rFonts w:ascii="Arial" w:hAnsi="Arial" w:cs="Arial"/>
                      <w:sz w:val="18"/>
                      <w:szCs w:val="18"/>
                    </w:rPr>
                  </w:pPr>
                  <w:r w:rsidRPr="002C2254">
                    <w:rPr>
                      <w:rFonts w:ascii="Arial" w:hAnsi="Arial" w:cs="Arial"/>
                      <w:sz w:val="18"/>
                      <w:szCs w:val="18"/>
                    </w:rPr>
                    <w:t>Placas de Gel de Sílice 60   con indicador fluorescente UV</w:t>
                  </w:r>
                  <w:r w:rsidRPr="002C2254">
                    <w:rPr>
                      <w:rFonts w:ascii="Arial" w:hAnsi="Arial" w:cs="Arial"/>
                      <w:sz w:val="18"/>
                      <w:szCs w:val="18"/>
                      <w:vertAlign w:val="subscript"/>
                    </w:rPr>
                    <w:t>254</w:t>
                  </w:r>
                  <w:r w:rsidRPr="002C2254">
                    <w:rPr>
                      <w:rFonts w:ascii="Arial" w:hAnsi="Arial" w:cs="Arial"/>
                      <w:sz w:val="18"/>
                      <w:szCs w:val="18"/>
                    </w:rPr>
                    <w:t xml:space="preserve"> (PGS60-UV</w:t>
                  </w:r>
                  <w:r w:rsidRPr="002C2254">
                    <w:rPr>
                      <w:rFonts w:ascii="Arial" w:hAnsi="Arial" w:cs="Arial"/>
                      <w:sz w:val="18"/>
                      <w:szCs w:val="18"/>
                      <w:vertAlign w:val="subscript"/>
                    </w:rPr>
                    <w:t>254</w:t>
                  </w:r>
                  <w:r w:rsidRPr="002C2254">
                    <w:rPr>
                      <w:rFonts w:ascii="Arial" w:hAnsi="Arial" w:cs="Arial"/>
                      <w:sz w:val="18"/>
                      <w:szCs w:val="18"/>
                    </w:rPr>
                    <w:t>)</w:t>
                  </w:r>
                </w:p>
                <w:p w:rsidR="00C0463A" w:rsidRPr="002C2254" w:rsidRDefault="00C0463A" w:rsidP="00C0463A">
                  <w:pPr>
                    <w:pStyle w:val="Prrafodelista"/>
                    <w:numPr>
                      <w:ilvl w:val="0"/>
                      <w:numId w:val="12"/>
                    </w:numPr>
                    <w:spacing w:before="120" w:after="120"/>
                    <w:ind w:left="184" w:hanging="184"/>
                    <w:rPr>
                      <w:rFonts w:ascii="Arial" w:hAnsi="Arial" w:cs="Arial"/>
                      <w:sz w:val="18"/>
                      <w:szCs w:val="18"/>
                    </w:rPr>
                  </w:pPr>
                  <w:r w:rsidRPr="002C2254">
                    <w:rPr>
                      <w:rFonts w:ascii="Arial" w:hAnsi="Arial" w:cs="Arial"/>
                      <w:sz w:val="18"/>
                      <w:szCs w:val="18"/>
                    </w:rPr>
                    <w:t>Lámpara UV</w:t>
                  </w:r>
                </w:p>
                <w:p w:rsidR="00C0463A" w:rsidRPr="002C2254" w:rsidRDefault="00C0463A" w:rsidP="00C0463A">
                  <w:pPr>
                    <w:pStyle w:val="Prrafodelista"/>
                    <w:numPr>
                      <w:ilvl w:val="0"/>
                      <w:numId w:val="12"/>
                    </w:numPr>
                    <w:spacing w:before="120" w:after="120"/>
                    <w:ind w:left="184" w:hanging="184"/>
                    <w:rPr>
                      <w:rFonts w:ascii="Arial" w:hAnsi="Arial" w:cs="Arial"/>
                      <w:sz w:val="18"/>
                      <w:szCs w:val="18"/>
                    </w:rPr>
                  </w:pPr>
                  <w:r w:rsidRPr="002C2254">
                    <w:rPr>
                      <w:rFonts w:ascii="Arial" w:hAnsi="Arial" w:cs="Arial"/>
                      <w:sz w:val="18"/>
                      <w:szCs w:val="18"/>
                    </w:rPr>
                    <w:t>Sistema de solvente adecuado.</w:t>
                  </w:r>
                </w:p>
                <w:p w:rsidR="00C0463A" w:rsidRPr="002C2254" w:rsidRDefault="00C0463A" w:rsidP="00C0463A">
                  <w:pPr>
                    <w:pStyle w:val="Prrafodelista"/>
                    <w:numPr>
                      <w:ilvl w:val="0"/>
                      <w:numId w:val="12"/>
                    </w:numPr>
                    <w:spacing w:before="120" w:after="120"/>
                    <w:ind w:left="184" w:hanging="184"/>
                    <w:rPr>
                      <w:rFonts w:ascii="Arial" w:hAnsi="Arial" w:cs="Arial"/>
                      <w:sz w:val="18"/>
                      <w:szCs w:val="18"/>
                    </w:rPr>
                  </w:pPr>
                  <w:r w:rsidRPr="002C2254">
                    <w:rPr>
                      <w:rFonts w:ascii="Arial" w:hAnsi="Arial" w:cs="Arial"/>
                      <w:sz w:val="18"/>
                      <w:szCs w:val="18"/>
                    </w:rPr>
                    <w:t>Espectrofotómetro IR</w:t>
                  </w:r>
                </w:p>
                <w:p w:rsidR="00C0463A" w:rsidRPr="002C2254" w:rsidRDefault="00C0463A" w:rsidP="00C0463A">
                  <w:pPr>
                    <w:pStyle w:val="Prrafodelista"/>
                    <w:numPr>
                      <w:ilvl w:val="0"/>
                      <w:numId w:val="12"/>
                    </w:numPr>
                    <w:spacing w:before="120" w:after="120"/>
                    <w:ind w:left="184" w:hanging="184"/>
                    <w:rPr>
                      <w:rFonts w:ascii="Arial" w:hAnsi="Arial" w:cs="Arial"/>
                      <w:sz w:val="18"/>
                      <w:szCs w:val="18"/>
                    </w:rPr>
                  </w:pPr>
                  <w:r w:rsidRPr="002C2254">
                    <w:rPr>
                      <w:rFonts w:ascii="Arial" w:hAnsi="Arial" w:cs="Arial"/>
                      <w:sz w:val="18"/>
                      <w:szCs w:val="18"/>
                    </w:rPr>
                    <w:t>Balanza analítica</w:t>
                  </w:r>
                </w:p>
                <w:p w:rsidR="00C0463A" w:rsidRPr="002C2254" w:rsidRDefault="00C0463A" w:rsidP="00C0463A">
                  <w:pPr>
                    <w:pStyle w:val="Prrafodelista"/>
                    <w:numPr>
                      <w:ilvl w:val="0"/>
                      <w:numId w:val="12"/>
                    </w:numPr>
                    <w:spacing w:before="120" w:after="120"/>
                    <w:ind w:left="184" w:hanging="184"/>
                    <w:rPr>
                      <w:rFonts w:ascii="Arial" w:hAnsi="Arial" w:cs="Arial"/>
                      <w:sz w:val="18"/>
                      <w:szCs w:val="18"/>
                    </w:rPr>
                  </w:pPr>
                  <w:r w:rsidRPr="002C2254">
                    <w:rPr>
                      <w:rFonts w:ascii="Arial" w:hAnsi="Arial" w:cs="Arial"/>
                      <w:sz w:val="18"/>
                      <w:szCs w:val="18"/>
                    </w:rPr>
                    <w:t>Solventes deuterados</w:t>
                  </w:r>
                </w:p>
                <w:p w:rsidR="00C0463A" w:rsidRPr="002C2254" w:rsidRDefault="00C0463A" w:rsidP="00C0463A">
                  <w:pPr>
                    <w:pStyle w:val="Prrafodelista"/>
                    <w:numPr>
                      <w:ilvl w:val="0"/>
                      <w:numId w:val="12"/>
                    </w:numPr>
                    <w:spacing w:before="120" w:after="120"/>
                    <w:ind w:left="184" w:hanging="184"/>
                    <w:rPr>
                      <w:rFonts w:ascii="Arial" w:hAnsi="Arial" w:cs="Arial"/>
                      <w:sz w:val="18"/>
                      <w:szCs w:val="18"/>
                    </w:rPr>
                  </w:pPr>
                  <w:r w:rsidRPr="002C2254">
                    <w:rPr>
                      <w:rFonts w:ascii="Arial" w:hAnsi="Arial" w:cs="Arial"/>
                      <w:sz w:val="18"/>
                      <w:szCs w:val="18"/>
                    </w:rPr>
                    <w:t>Espectrómetro de RMN</w:t>
                  </w:r>
                </w:p>
              </w:tc>
            </w:tr>
            <w:tr w:rsidR="00BC1D78" w:rsidRPr="002C2254" w:rsidTr="00B93EE5">
              <w:tc>
                <w:tcPr>
                  <w:tcW w:w="1875" w:type="dxa"/>
                  <w:vMerge/>
                  <w:tcBorders>
                    <w:left w:val="nil"/>
                    <w:bottom w:val="single" w:sz="18" w:space="0" w:color="auto"/>
                    <w:right w:val="nil"/>
                  </w:tcBorders>
                  <w:vAlign w:val="center"/>
                </w:tcPr>
                <w:p w:rsidR="00C0463A" w:rsidRPr="002C2254" w:rsidRDefault="00C0463A" w:rsidP="00251EE6">
                  <w:pPr>
                    <w:spacing w:before="120" w:after="120"/>
                    <w:jc w:val="center"/>
                    <w:rPr>
                      <w:rFonts w:ascii="Arial" w:hAnsi="Arial" w:cs="Arial"/>
                      <w:sz w:val="18"/>
                      <w:szCs w:val="18"/>
                    </w:rPr>
                  </w:pPr>
                </w:p>
              </w:tc>
              <w:tc>
                <w:tcPr>
                  <w:tcW w:w="1635" w:type="dxa"/>
                  <w:vMerge/>
                  <w:tcBorders>
                    <w:left w:val="nil"/>
                    <w:bottom w:val="single" w:sz="18" w:space="0" w:color="auto"/>
                    <w:right w:val="nil"/>
                  </w:tcBorders>
                  <w:vAlign w:val="center"/>
                </w:tcPr>
                <w:p w:rsidR="00C0463A" w:rsidRPr="002C2254" w:rsidRDefault="00C0463A" w:rsidP="00251EE6">
                  <w:pPr>
                    <w:spacing w:before="120" w:after="120"/>
                    <w:jc w:val="center"/>
                    <w:rPr>
                      <w:rFonts w:ascii="Arial" w:hAnsi="Arial" w:cs="Arial"/>
                      <w:sz w:val="18"/>
                      <w:szCs w:val="18"/>
                    </w:rPr>
                  </w:pPr>
                </w:p>
              </w:tc>
              <w:tc>
                <w:tcPr>
                  <w:tcW w:w="1843" w:type="dxa"/>
                  <w:tcBorders>
                    <w:left w:val="nil"/>
                    <w:bottom w:val="single" w:sz="18" w:space="0" w:color="auto"/>
                    <w:right w:val="nil"/>
                  </w:tcBorders>
                  <w:vAlign w:val="center"/>
                </w:tcPr>
                <w:p w:rsidR="00C0463A" w:rsidRPr="002C2254" w:rsidRDefault="00C0463A" w:rsidP="00251EE6">
                  <w:pPr>
                    <w:spacing w:before="120" w:after="120"/>
                    <w:jc w:val="center"/>
                    <w:rPr>
                      <w:rFonts w:ascii="Arial" w:hAnsi="Arial" w:cs="Arial"/>
                      <w:sz w:val="18"/>
                      <w:szCs w:val="18"/>
                    </w:rPr>
                  </w:pPr>
                  <w:r w:rsidRPr="002C2254">
                    <w:rPr>
                      <w:rFonts w:ascii="Arial" w:hAnsi="Arial" w:cs="Arial"/>
                      <w:sz w:val="18"/>
                      <w:szCs w:val="18"/>
                    </w:rPr>
                    <w:t>Síntesis con enfoque de Química Verde</w:t>
                  </w:r>
                </w:p>
              </w:tc>
              <w:tc>
                <w:tcPr>
                  <w:tcW w:w="1701" w:type="dxa"/>
                  <w:vMerge/>
                  <w:tcBorders>
                    <w:left w:val="nil"/>
                    <w:bottom w:val="single" w:sz="18" w:space="0" w:color="auto"/>
                    <w:right w:val="nil"/>
                  </w:tcBorders>
                </w:tcPr>
                <w:p w:rsidR="00C0463A" w:rsidRPr="002C2254" w:rsidRDefault="00C0463A" w:rsidP="00251EE6">
                  <w:pPr>
                    <w:pStyle w:val="Prrafodelista"/>
                    <w:spacing w:before="120" w:after="120"/>
                    <w:ind w:left="216"/>
                    <w:rPr>
                      <w:rFonts w:ascii="Arial" w:hAnsi="Arial" w:cs="Arial"/>
                      <w:sz w:val="18"/>
                      <w:szCs w:val="18"/>
                    </w:rPr>
                  </w:pPr>
                </w:p>
              </w:tc>
              <w:tc>
                <w:tcPr>
                  <w:tcW w:w="2321" w:type="dxa"/>
                  <w:vMerge/>
                  <w:tcBorders>
                    <w:left w:val="nil"/>
                    <w:bottom w:val="single" w:sz="18" w:space="0" w:color="auto"/>
                    <w:right w:val="nil"/>
                  </w:tcBorders>
                  <w:vAlign w:val="center"/>
                </w:tcPr>
                <w:p w:rsidR="00C0463A" w:rsidRPr="002C2254" w:rsidRDefault="00C0463A" w:rsidP="00251EE6">
                  <w:pPr>
                    <w:spacing w:before="120" w:after="120"/>
                    <w:rPr>
                      <w:rFonts w:ascii="Arial" w:hAnsi="Arial" w:cs="Arial"/>
                      <w:sz w:val="18"/>
                      <w:szCs w:val="18"/>
                    </w:rPr>
                  </w:pPr>
                </w:p>
              </w:tc>
            </w:tr>
            <w:tr w:rsidR="00BC1D78" w:rsidRPr="002C2254" w:rsidTr="00B93EE5">
              <w:trPr>
                <w:trHeight w:val="954"/>
              </w:trPr>
              <w:tc>
                <w:tcPr>
                  <w:tcW w:w="1875" w:type="dxa"/>
                  <w:vMerge w:val="restart"/>
                  <w:tcBorders>
                    <w:top w:val="single" w:sz="18" w:space="0" w:color="auto"/>
                    <w:left w:val="nil"/>
                    <w:right w:val="nil"/>
                  </w:tcBorders>
                  <w:vAlign w:val="center"/>
                </w:tcPr>
                <w:p w:rsidR="00C0463A" w:rsidRPr="002C2254" w:rsidRDefault="00C0463A" w:rsidP="00251EE6">
                  <w:pPr>
                    <w:spacing w:before="120" w:after="120"/>
                    <w:jc w:val="center"/>
                    <w:rPr>
                      <w:rFonts w:ascii="Arial" w:hAnsi="Arial" w:cs="Arial"/>
                      <w:sz w:val="18"/>
                      <w:szCs w:val="18"/>
                    </w:rPr>
                  </w:pPr>
                  <w:r w:rsidRPr="002C2254">
                    <w:rPr>
                      <w:rFonts w:ascii="Arial" w:hAnsi="Arial" w:cs="Arial"/>
                      <w:sz w:val="18"/>
                      <w:szCs w:val="18"/>
                    </w:rPr>
                    <w:t>Pureza química</w:t>
                  </w:r>
                </w:p>
              </w:tc>
              <w:tc>
                <w:tcPr>
                  <w:tcW w:w="1635" w:type="dxa"/>
                  <w:vMerge w:val="restart"/>
                  <w:tcBorders>
                    <w:top w:val="single" w:sz="18" w:space="0" w:color="auto"/>
                    <w:left w:val="nil"/>
                    <w:right w:val="nil"/>
                  </w:tcBorders>
                  <w:vAlign w:val="center"/>
                </w:tcPr>
                <w:p w:rsidR="00C0463A" w:rsidRPr="002C2254" w:rsidRDefault="00C0463A" w:rsidP="00251EE6">
                  <w:pPr>
                    <w:spacing w:before="120" w:after="120"/>
                    <w:jc w:val="center"/>
                    <w:rPr>
                      <w:rFonts w:ascii="Arial" w:hAnsi="Arial" w:cs="Arial"/>
                      <w:sz w:val="18"/>
                      <w:szCs w:val="18"/>
                    </w:rPr>
                  </w:pPr>
                  <w:r w:rsidRPr="002C2254">
                    <w:rPr>
                      <w:rFonts w:ascii="Arial" w:hAnsi="Arial" w:cs="Arial"/>
                      <w:sz w:val="18"/>
                      <w:szCs w:val="18"/>
                    </w:rPr>
                    <w:t>Técnicas de purificación</w:t>
                  </w:r>
                </w:p>
              </w:tc>
              <w:tc>
                <w:tcPr>
                  <w:tcW w:w="1843" w:type="dxa"/>
                  <w:tcBorders>
                    <w:top w:val="single" w:sz="18" w:space="0" w:color="auto"/>
                    <w:left w:val="nil"/>
                    <w:bottom w:val="single" w:sz="4" w:space="0" w:color="auto"/>
                    <w:right w:val="nil"/>
                  </w:tcBorders>
                  <w:vAlign w:val="center"/>
                </w:tcPr>
                <w:p w:rsidR="00C0463A" w:rsidRPr="002C2254" w:rsidRDefault="00C0463A" w:rsidP="00251EE6">
                  <w:pPr>
                    <w:spacing w:before="120" w:after="120"/>
                    <w:jc w:val="center"/>
                    <w:rPr>
                      <w:rFonts w:ascii="Arial" w:hAnsi="Arial" w:cs="Arial"/>
                      <w:sz w:val="18"/>
                      <w:szCs w:val="18"/>
                    </w:rPr>
                  </w:pPr>
                  <w:r w:rsidRPr="002C2254">
                    <w:rPr>
                      <w:rFonts w:ascii="Arial" w:hAnsi="Arial" w:cs="Arial"/>
                      <w:sz w:val="18"/>
                      <w:szCs w:val="18"/>
                    </w:rPr>
                    <w:t>Purificación por recristalización</w:t>
                  </w:r>
                </w:p>
              </w:tc>
              <w:tc>
                <w:tcPr>
                  <w:tcW w:w="1701" w:type="dxa"/>
                  <w:vMerge w:val="restart"/>
                  <w:tcBorders>
                    <w:top w:val="single" w:sz="18" w:space="0" w:color="auto"/>
                    <w:left w:val="nil"/>
                    <w:bottom w:val="single" w:sz="18" w:space="0" w:color="auto"/>
                    <w:right w:val="nil"/>
                  </w:tcBorders>
                  <w:vAlign w:val="center"/>
                </w:tcPr>
                <w:p w:rsidR="00C0463A" w:rsidRPr="002C2254" w:rsidRDefault="00C0463A" w:rsidP="00C0463A">
                  <w:pPr>
                    <w:pStyle w:val="Prrafodelista"/>
                    <w:numPr>
                      <w:ilvl w:val="0"/>
                      <w:numId w:val="12"/>
                    </w:numPr>
                    <w:spacing w:before="120" w:after="120"/>
                    <w:ind w:left="216" w:hanging="216"/>
                    <w:rPr>
                      <w:rFonts w:ascii="Arial" w:hAnsi="Arial" w:cs="Arial"/>
                      <w:sz w:val="18"/>
                      <w:szCs w:val="18"/>
                    </w:rPr>
                  </w:pPr>
                  <w:r w:rsidRPr="002C2254">
                    <w:rPr>
                      <w:rFonts w:ascii="Arial" w:hAnsi="Arial" w:cs="Arial"/>
                      <w:sz w:val="18"/>
                      <w:szCs w:val="18"/>
                    </w:rPr>
                    <w:t>TLC</w:t>
                  </w:r>
                </w:p>
                <w:p w:rsidR="00C0463A" w:rsidRPr="002C2254" w:rsidRDefault="00C0463A" w:rsidP="00C0463A">
                  <w:pPr>
                    <w:pStyle w:val="Prrafodelista"/>
                    <w:numPr>
                      <w:ilvl w:val="0"/>
                      <w:numId w:val="12"/>
                    </w:numPr>
                    <w:spacing w:before="120" w:after="120"/>
                    <w:ind w:left="216" w:hanging="216"/>
                    <w:rPr>
                      <w:rFonts w:ascii="Arial" w:hAnsi="Arial" w:cs="Arial"/>
                      <w:sz w:val="18"/>
                      <w:szCs w:val="18"/>
                    </w:rPr>
                  </w:pPr>
                  <w:r w:rsidRPr="002C2254">
                    <w:rPr>
                      <w:rFonts w:ascii="Arial" w:hAnsi="Arial" w:cs="Arial"/>
                      <w:sz w:val="18"/>
                      <w:szCs w:val="18"/>
                    </w:rPr>
                    <w:t>Infrarrojo</w:t>
                  </w:r>
                </w:p>
                <w:p w:rsidR="00C0463A" w:rsidRPr="002C2254" w:rsidRDefault="00C0463A" w:rsidP="00C0463A">
                  <w:pPr>
                    <w:pStyle w:val="Prrafodelista"/>
                    <w:numPr>
                      <w:ilvl w:val="0"/>
                      <w:numId w:val="12"/>
                    </w:numPr>
                    <w:spacing w:before="120" w:after="120"/>
                    <w:ind w:left="216" w:hanging="216"/>
                    <w:rPr>
                      <w:rFonts w:ascii="Arial" w:hAnsi="Arial" w:cs="Arial"/>
                      <w:sz w:val="18"/>
                      <w:szCs w:val="18"/>
                    </w:rPr>
                  </w:pPr>
                  <w:r w:rsidRPr="002C2254">
                    <w:rPr>
                      <w:rFonts w:ascii="Arial" w:hAnsi="Arial" w:cs="Arial"/>
                      <w:sz w:val="18"/>
                      <w:szCs w:val="18"/>
                    </w:rPr>
                    <w:t>Puntos de fusión</w:t>
                  </w:r>
                </w:p>
                <w:p w:rsidR="00C0463A" w:rsidRPr="002C2254" w:rsidRDefault="00C0463A" w:rsidP="00C0463A">
                  <w:pPr>
                    <w:pStyle w:val="Prrafodelista"/>
                    <w:numPr>
                      <w:ilvl w:val="0"/>
                      <w:numId w:val="12"/>
                    </w:numPr>
                    <w:spacing w:before="120" w:after="120"/>
                    <w:ind w:left="216" w:hanging="216"/>
                    <w:rPr>
                      <w:rFonts w:ascii="Arial" w:hAnsi="Arial" w:cs="Arial"/>
                      <w:sz w:val="18"/>
                      <w:szCs w:val="18"/>
                    </w:rPr>
                  </w:pPr>
                  <w:r w:rsidRPr="002C2254">
                    <w:rPr>
                      <w:rFonts w:ascii="Arial" w:hAnsi="Arial" w:cs="Arial"/>
                      <w:sz w:val="18"/>
                      <w:szCs w:val="18"/>
                    </w:rPr>
                    <w:t>Análisis elemental</w:t>
                  </w:r>
                </w:p>
              </w:tc>
              <w:tc>
                <w:tcPr>
                  <w:tcW w:w="2321" w:type="dxa"/>
                  <w:vMerge w:val="restart"/>
                  <w:tcBorders>
                    <w:top w:val="single" w:sz="18" w:space="0" w:color="auto"/>
                    <w:left w:val="nil"/>
                    <w:bottom w:val="single" w:sz="18" w:space="0" w:color="auto"/>
                    <w:right w:val="nil"/>
                  </w:tcBorders>
                  <w:vAlign w:val="center"/>
                </w:tcPr>
                <w:p w:rsidR="00C0463A" w:rsidRPr="002C2254" w:rsidRDefault="00C0463A" w:rsidP="00C0463A">
                  <w:pPr>
                    <w:pStyle w:val="Prrafodelista"/>
                    <w:numPr>
                      <w:ilvl w:val="0"/>
                      <w:numId w:val="12"/>
                    </w:numPr>
                    <w:spacing w:before="120" w:after="120"/>
                    <w:ind w:left="184" w:hanging="184"/>
                    <w:rPr>
                      <w:rFonts w:ascii="Arial" w:hAnsi="Arial" w:cs="Arial"/>
                      <w:sz w:val="18"/>
                      <w:szCs w:val="18"/>
                    </w:rPr>
                  </w:pPr>
                  <w:r w:rsidRPr="002C2254">
                    <w:rPr>
                      <w:rFonts w:ascii="Arial" w:hAnsi="Arial" w:cs="Arial"/>
                      <w:sz w:val="18"/>
                      <w:szCs w:val="18"/>
                    </w:rPr>
                    <w:t>(PGS60-UV</w:t>
                  </w:r>
                  <w:r w:rsidRPr="002C2254">
                    <w:rPr>
                      <w:rFonts w:ascii="Arial" w:hAnsi="Arial" w:cs="Arial"/>
                      <w:sz w:val="18"/>
                      <w:szCs w:val="18"/>
                      <w:vertAlign w:val="subscript"/>
                    </w:rPr>
                    <w:t>254</w:t>
                  </w:r>
                  <w:r w:rsidRPr="002C2254">
                    <w:rPr>
                      <w:rFonts w:ascii="Arial" w:hAnsi="Arial" w:cs="Arial"/>
                      <w:sz w:val="18"/>
                      <w:szCs w:val="18"/>
                    </w:rPr>
                    <w:t>)</w:t>
                  </w:r>
                </w:p>
                <w:p w:rsidR="00C0463A" w:rsidRPr="002C2254" w:rsidRDefault="00C0463A" w:rsidP="00C0463A">
                  <w:pPr>
                    <w:pStyle w:val="Prrafodelista"/>
                    <w:numPr>
                      <w:ilvl w:val="0"/>
                      <w:numId w:val="12"/>
                    </w:numPr>
                    <w:spacing w:before="120" w:after="120"/>
                    <w:ind w:left="184" w:hanging="184"/>
                    <w:rPr>
                      <w:rFonts w:ascii="Arial" w:hAnsi="Arial" w:cs="Arial"/>
                      <w:sz w:val="18"/>
                      <w:szCs w:val="18"/>
                    </w:rPr>
                  </w:pPr>
                  <w:r w:rsidRPr="002C2254">
                    <w:rPr>
                      <w:rFonts w:ascii="Arial" w:hAnsi="Arial" w:cs="Arial"/>
                      <w:sz w:val="18"/>
                      <w:szCs w:val="18"/>
                    </w:rPr>
                    <w:t>Lámpara UV.</w:t>
                  </w:r>
                </w:p>
                <w:p w:rsidR="00C0463A" w:rsidRPr="002C2254" w:rsidRDefault="00C0463A" w:rsidP="00C0463A">
                  <w:pPr>
                    <w:pStyle w:val="Prrafodelista"/>
                    <w:numPr>
                      <w:ilvl w:val="0"/>
                      <w:numId w:val="12"/>
                    </w:numPr>
                    <w:spacing w:before="120" w:after="120"/>
                    <w:ind w:left="184" w:hanging="184"/>
                    <w:rPr>
                      <w:rFonts w:ascii="Arial" w:hAnsi="Arial" w:cs="Arial"/>
                      <w:sz w:val="18"/>
                      <w:szCs w:val="18"/>
                    </w:rPr>
                  </w:pPr>
                  <w:r w:rsidRPr="002C2254">
                    <w:rPr>
                      <w:rFonts w:ascii="Arial" w:hAnsi="Arial" w:cs="Arial"/>
                      <w:sz w:val="18"/>
                      <w:szCs w:val="18"/>
                    </w:rPr>
                    <w:t>Sistema de solvente adecuado.</w:t>
                  </w:r>
                </w:p>
                <w:p w:rsidR="00C0463A" w:rsidRPr="002C2254" w:rsidRDefault="00C0463A" w:rsidP="00C0463A">
                  <w:pPr>
                    <w:pStyle w:val="Prrafodelista"/>
                    <w:numPr>
                      <w:ilvl w:val="0"/>
                      <w:numId w:val="12"/>
                    </w:numPr>
                    <w:spacing w:before="120" w:after="120"/>
                    <w:ind w:left="184" w:hanging="184"/>
                    <w:rPr>
                      <w:rFonts w:ascii="Arial" w:hAnsi="Arial" w:cs="Arial"/>
                      <w:sz w:val="18"/>
                      <w:szCs w:val="18"/>
                    </w:rPr>
                  </w:pPr>
                  <w:r w:rsidRPr="002C2254">
                    <w:rPr>
                      <w:rFonts w:ascii="Arial" w:hAnsi="Arial" w:cs="Arial"/>
                      <w:sz w:val="18"/>
                      <w:szCs w:val="18"/>
                    </w:rPr>
                    <w:t>Espectrofotómetro IR</w:t>
                  </w:r>
                </w:p>
                <w:p w:rsidR="00C0463A" w:rsidRPr="002C2254" w:rsidRDefault="00C0463A" w:rsidP="00C0463A">
                  <w:pPr>
                    <w:pStyle w:val="Prrafodelista"/>
                    <w:numPr>
                      <w:ilvl w:val="0"/>
                      <w:numId w:val="12"/>
                    </w:numPr>
                    <w:spacing w:before="120" w:after="120"/>
                    <w:ind w:left="184" w:hanging="184"/>
                    <w:rPr>
                      <w:rFonts w:ascii="Arial" w:hAnsi="Arial" w:cs="Arial"/>
                      <w:sz w:val="18"/>
                      <w:szCs w:val="18"/>
                    </w:rPr>
                  </w:pPr>
                  <w:r w:rsidRPr="002C2254">
                    <w:rPr>
                      <w:rFonts w:ascii="Arial" w:hAnsi="Arial" w:cs="Arial"/>
                      <w:sz w:val="18"/>
                      <w:szCs w:val="18"/>
                    </w:rPr>
                    <w:t>Fusiómetro</w:t>
                  </w:r>
                </w:p>
                <w:p w:rsidR="00C0463A" w:rsidRPr="002C2254" w:rsidRDefault="00C0463A" w:rsidP="00C0463A">
                  <w:pPr>
                    <w:pStyle w:val="Prrafodelista"/>
                    <w:numPr>
                      <w:ilvl w:val="0"/>
                      <w:numId w:val="12"/>
                    </w:numPr>
                    <w:spacing w:before="120" w:after="120"/>
                    <w:ind w:left="181" w:hanging="181"/>
                    <w:contextualSpacing w:val="0"/>
                    <w:rPr>
                      <w:rFonts w:ascii="Arial" w:hAnsi="Arial" w:cs="Arial"/>
                      <w:sz w:val="18"/>
                      <w:szCs w:val="18"/>
                    </w:rPr>
                  </w:pPr>
                  <w:r w:rsidRPr="002C2254">
                    <w:rPr>
                      <w:rFonts w:ascii="Arial" w:hAnsi="Arial" w:cs="Arial"/>
                      <w:sz w:val="18"/>
                      <w:szCs w:val="18"/>
                    </w:rPr>
                    <w:t>Analizador elemental CHNOS</w:t>
                  </w:r>
                </w:p>
              </w:tc>
            </w:tr>
            <w:tr w:rsidR="00BC1D78" w:rsidRPr="002C2254" w:rsidTr="00B93EE5">
              <w:trPr>
                <w:trHeight w:val="634"/>
              </w:trPr>
              <w:tc>
                <w:tcPr>
                  <w:tcW w:w="1875" w:type="dxa"/>
                  <w:vMerge/>
                  <w:tcBorders>
                    <w:left w:val="nil"/>
                    <w:bottom w:val="single" w:sz="18" w:space="0" w:color="auto"/>
                    <w:right w:val="nil"/>
                  </w:tcBorders>
                  <w:vAlign w:val="center"/>
                </w:tcPr>
                <w:p w:rsidR="00C0463A" w:rsidRPr="002C2254" w:rsidRDefault="00C0463A" w:rsidP="00251EE6">
                  <w:pPr>
                    <w:spacing w:before="120" w:after="120"/>
                    <w:jc w:val="center"/>
                    <w:rPr>
                      <w:rFonts w:ascii="Arial" w:hAnsi="Arial" w:cs="Arial"/>
                      <w:sz w:val="18"/>
                      <w:szCs w:val="18"/>
                    </w:rPr>
                  </w:pPr>
                </w:p>
              </w:tc>
              <w:tc>
                <w:tcPr>
                  <w:tcW w:w="1635" w:type="dxa"/>
                  <w:vMerge/>
                  <w:tcBorders>
                    <w:left w:val="nil"/>
                    <w:bottom w:val="single" w:sz="18" w:space="0" w:color="auto"/>
                    <w:right w:val="nil"/>
                  </w:tcBorders>
                  <w:vAlign w:val="center"/>
                </w:tcPr>
                <w:p w:rsidR="00C0463A" w:rsidRPr="002C2254" w:rsidRDefault="00C0463A" w:rsidP="00251EE6">
                  <w:pPr>
                    <w:spacing w:before="120" w:after="120"/>
                    <w:jc w:val="center"/>
                    <w:rPr>
                      <w:rFonts w:ascii="Arial" w:hAnsi="Arial" w:cs="Arial"/>
                      <w:sz w:val="18"/>
                      <w:szCs w:val="18"/>
                    </w:rPr>
                  </w:pPr>
                </w:p>
              </w:tc>
              <w:tc>
                <w:tcPr>
                  <w:tcW w:w="1843" w:type="dxa"/>
                  <w:tcBorders>
                    <w:left w:val="nil"/>
                    <w:bottom w:val="single" w:sz="18" w:space="0" w:color="auto"/>
                    <w:right w:val="nil"/>
                  </w:tcBorders>
                  <w:vAlign w:val="center"/>
                </w:tcPr>
                <w:p w:rsidR="00C0463A" w:rsidRPr="002C2254" w:rsidRDefault="00C0463A" w:rsidP="00251EE6">
                  <w:pPr>
                    <w:spacing w:before="120" w:after="120"/>
                    <w:jc w:val="center"/>
                    <w:rPr>
                      <w:rFonts w:ascii="Arial" w:hAnsi="Arial" w:cs="Arial"/>
                      <w:sz w:val="18"/>
                      <w:szCs w:val="18"/>
                    </w:rPr>
                  </w:pPr>
                  <w:r w:rsidRPr="002C2254">
                    <w:rPr>
                      <w:rFonts w:ascii="Arial" w:hAnsi="Arial" w:cs="Arial"/>
                      <w:sz w:val="18"/>
                      <w:szCs w:val="18"/>
                    </w:rPr>
                    <w:t>Purificación por difusión de líquidos</w:t>
                  </w:r>
                </w:p>
              </w:tc>
              <w:tc>
                <w:tcPr>
                  <w:tcW w:w="1701" w:type="dxa"/>
                  <w:vMerge/>
                  <w:tcBorders>
                    <w:top w:val="nil"/>
                    <w:left w:val="nil"/>
                    <w:bottom w:val="single" w:sz="18" w:space="0" w:color="auto"/>
                    <w:right w:val="nil"/>
                  </w:tcBorders>
                  <w:vAlign w:val="center"/>
                </w:tcPr>
                <w:p w:rsidR="00C0463A" w:rsidRPr="002C2254" w:rsidRDefault="00C0463A" w:rsidP="00251EE6">
                  <w:pPr>
                    <w:spacing w:before="120" w:after="120"/>
                    <w:rPr>
                      <w:rFonts w:ascii="Arial" w:hAnsi="Arial" w:cs="Arial"/>
                      <w:sz w:val="18"/>
                      <w:szCs w:val="18"/>
                    </w:rPr>
                  </w:pPr>
                </w:p>
              </w:tc>
              <w:tc>
                <w:tcPr>
                  <w:tcW w:w="2321" w:type="dxa"/>
                  <w:vMerge/>
                  <w:tcBorders>
                    <w:top w:val="nil"/>
                    <w:left w:val="nil"/>
                    <w:bottom w:val="single" w:sz="18" w:space="0" w:color="auto"/>
                    <w:right w:val="nil"/>
                  </w:tcBorders>
                  <w:vAlign w:val="center"/>
                </w:tcPr>
                <w:p w:rsidR="00C0463A" w:rsidRPr="002C2254" w:rsidRDefault="00C0463A" w:rsidP="00251EE6">
                  <w:pPr>
                    <w:spacing w:before="120" w:after="120"/>
                    <w:rPr>
                      <w:rFonts w:ascii="Arial" w:hAnsi="Arial" w:cs="Arial"/>
                      <w:sz w:val="18"/>
                      <w:szCs w:val="18"/>
                    </w:rPr>
                  </w:pPr>
                </w:p>
              </w:tc>
            </w:tr>
            <w:tr w:rsidR="009F768E" w:rsidRPr="002C2254" w:rsidTr="00B93EE5">
              <w:trPr>
                <w:trHeight w:val="724"/>
              </w:trPr>
              <w:tc>
                <w:tcPr>
                  <w:tcW w:w="1875" w:type="dxa"/>
                  <w:vMerge w:val="restart"/>
                  <w:tcBorders>
                    <w:top w:val="single" w:sz="18" w:space="0" w:color="auto"/>
                    <w:left w:val="nil"/>
                    <w:right w:val="nil"/>
                  </w:tcBorders>
                  <w:vAlign w:val="center"/>
                </w:tcPr>
                <w:p w:rsidR="00C0463A" w:rsidRPr="002C2254" w:rsidRDefault="00C0463A" w:rsidP="00251EE6">
                  <w:pPr>
                    <w:spacing w:before="120" w:after="120"/>
                    <w:jc w:val="center"/>
                    <w:rPr>
                      <w:rFonts w:ascii="Arial" w:hAnsi="Arial" w:cs="Arial"/>
                      <w:sz w:val="18"/>
                      <w:szCs w:val="18"/>
                    </w:rPr>
                  </w:pPr>
                  <w:r w:rsidRPr="002C2254">
                    <w:rPr>
                      <w:rFonts w:ascii="Arial" w:hAnsi="Arial" w:cs="Arial"/>
                      <w:sz w:val="18"/>
                      <w:szCs w:val="18"/>
                    </w:rPr>
                    <w:t xml:space="preserve">Caracterización </w:t>
                  </w:r>
                  <w:r w:rsidR="00E63A79">
                    <w:rPr>
                      <w:rFonts w:ascii="Arial" w:hAnsi="Arial" w:cs="Arial"/>
                      <w:sz w:val="18"/>
                      <w:szCs w:val="18"/>
                    </w:rPr>
                    <w:t>molecular</w:t>
                  </w:r>
                </w:p>
              </w:tc>
              <w:tc>
                <w:tcPr>
                  <w:tcW w:w="1635" w:type="dxa"/>
                  <w:vMerge w:val="restart"/>
                  <w:tcBorders>
                    <w:top w:val="single" w:sz="18" w:space="0" w:color="auto"/>
                    <w:left w:val="nil"/>
                    <w:right w:val="nil"/>
                  </w:tcBorders>
                  <w:vAlign w:val="center"/>
                </w:tcPr>
                <w:p w:rsidR="00C0463A" w:rsidRPr="002C2254" w:rsidRDefault="00C0463A" w:rsidP="00251EE6">
                  <w:pPr>
                    <w:spacing w:before="120" w:after="120"/>
                    <w:jc w:val="center"/>
                    <w:rPr>
                      <w:rFonts w:ascii="Arial" w:hAnsi="Arial" w:cs="Arial"/>
                      <w:sz w:val="18"/>
                      <w:szCs w:val="18"/>
                    </w:rPr>
                  </w:pPr>
                  <w:r w:rsidRPr="002C2254">
                    <w:rPr>
                      <w:rFonts w:ascii="Arial" w:hAnsi="Arial" w:cs="Arial"/>
                      <w:sz w:val="18"/>
                      <w:szCs w:val="18"/>
                    </w:rPr>
                    <w:t>Métodos de caracterización</w:t>
                  </w:r>
                </w:p>
              </w:tc>
              <w:tc>
                <w:tcPr>
                  <w:tcW w:w="1843" w:type="dxa"/>
                  <w:tcBorders>
                    <w:top w:val="single" w:sz="18" w:space="0" w:color="auto"/>
                    <w:left w:val="nil"/>
                    <w:right w:val="nil"/>
                  </w:tcBorders>
                  <w:vAlign w:val="center"/>
                </w:tcPr>
                <w:p w:rsidR="00C0463A" w:rsidRPr="002C2254" w:rsidRDefault="00C0463A" w:rsidP="00251EE6">
                  <w:pPr>
                    <w:spacing w:before="120" w:after="120"/>
                    <w:jc w:val="center"/>
                    <w:rPr>
                      <w:rFonts w:ascii="Arial" w:hAnsi="Arial" w:cs="Arial"/>
                      <w:sz w:val="18"/>
                      <w:szCs w:val="18"/>
                    </w:rPr>
                  </w:pPr>
                  <w:r w:rsidRPr="002C2254">
                    <w:rPr>
                      <w:rFonts w:ascii="Arial" w:hAnsi="Arial" w:cs="Arial"/>
                      <w:sz w:val="18"/>
                      <w:szCs w:val="18"/>
                    </w:rPr>
                    <w:t>Caracterización física</w:t>
                  </w:r>
                </w:p>
              </w:tc>
              <w:tc>
                <w:tcPr>
                  <w:tcW w:w="1701" w:type="dxa"/>
                  <w:tcBorders>
                    <w:top w:val="single" w:sz="18" w:space="0" w:color="auto"/>
                    <w:left w:val="nil"/>
                    <w:right w:val="nil"/>
                  </w:tcBorders>
                  <w:vAlign w:val="center"/>
                </w:tcPr>
                <w:p w:rsidR="00C0463A" w:rsidRPr="002C2254" w:rsidRDefault="00C0463A" w:rsidP="00C0463A">
                  <w:pPr>
                    <w:pStyle w:val="Prrafodelista"/>
                    <w:numPr>
                      <w:ilvl w:val="0"/>
                      <w:numId w:val="12"/>
                    </w:numPr>
                    <w:spacing w:before="120" w:after="120"/>
                    <w:ind w:left="216" w:hanging="216"/>
                    <w:rPr>
                      <w:rFonts w:ascii="Arial" w:hAnsi="Arial" w:cs="Arial"/>
                      <w:sz w:val="18"/>
                      <w:szCs w:val="18"/>
                    </w:rPr>
                  </w:pPr>
                  <w:r w:rsidRPr="002C2254">
                    <w:rPr>
                      <w:rFonts w:ascii="Arial" w:hAnsi="Arial" w:cs="Arial"/>
                      <w:sz w:val="18"/>
                      <w:szCs w:val="18"/>
                    </w:rPr>
                    <w:t>Estado físico</w:t>
                  </w:r>
                </w:p>
                <w:p w:rsidR="00C0463A" w:rsidRPr="002C2254" w:rsidRDefault="00C0463A" w:rsidP="00C0463A">
                  <w:pPr>
                    <w:pStyle w:val="Prrafodelista"/>
                    <w:numPr>
                      <w:ilvl w:val="0"/>
                      <w:numId w:val="12"/>
                    </w:numPr>
                    <w:spacing w:before="120" w:after="120"/>
                    <w:ind w:left="216" w:hanging="216"/>
                    <w:rPr>
                      <w:rFonts w:ascii="Arial" w:hAnsi="Arial" w:cs="Arial"/>
                      <w:sz w:val="18"/>
                      <w:szCs w:val="18"/>
                    </w:rPr>
                  </w:pPr>
                  <w:r w:rsidRPr="002C2254">
                    <w:rPr>
                      <w:rFonts w:ascii="Arial" w:hAnsi="Arial" w:cs="Arial"/>
                      <w:sz w:val="18"/>
                      <w:szCs w:val="18"/>
                    </w:rPr>
                    <w:t>Puntos de fusión y/o ebullición</w:t>
                  </w:r>
                </w:p>
              </w:tc>
              <w:tc>
                <w:tcPr>
                  <w:tcW w:w="2321" w:type="dxa"/>
                  <w:tcBorders>
                    <w:top w:val="single" w:sz="18" w:space="0" w:color="auto"/>
                    <w:left w:val="nil"/>
                    <w:right w:val="nil"/>
                  </w:tcBorders>
                  <w:vAlign w:val="center"/>
                </w:tcPr>
                <w:p w:rsidR="00C0463A" w:rsidRPr="002C2254" w:rsidRDefault="00C0463A" w:rsidP="00C0463A">
                  <w:pPr>
                    <w:pStyle w:val="Prrafodelista"/>
                    <w:numPr>
                      <w:ilvl w:val="0"/>
                      <w:numId w:val="12"/>
                    </w:numPr>
                    <w:spacing w:before="120" w:after="120"/>
                    <w:ind w:left="184" w:hanging="184"/>
                    <w:rPr>
                      <w:rFonts w:ascii="Arial" w:hAnsi="Arial" w:cs="Arial"/>
                      <w:sz w:val="18"/>
                      <w:szCs w:val="18"/>
                    </w:rPr>
                  </w:pPr>
                  <w:r w:rsidRPr="002C2254">
                    <w:rPr>
                      <w:rFonts w:ascii="Arial" w:hAnsi="Arial" w:cs="Arial"/>
                      <w:sz w:val="18"/>
                      <w:szCs w:val="18"/>
                    </w:rPr>
                    <w:t>Fusiómetro</w:t>
                  </w:r>
                </w:p>
              </w:tc>
            </w:tr>
            <w:tr w:rsidR="009F768E" w:rsidRPr="002C2254" w:rsidTr="009F768E">
              <w:tc>
                <w:tcPr>
                  <w:tcW w:w="1875" w:type="dxa"/>
                  <w:vMerge/>
                  <w:tcBorders>
                    <w:left w:val="nil"/>
                    <w:right w:val="nil"/>
                  </w:tcBorders>
                  <w:vAlign w:val="center"/>
                </w:tcPr>
                <w:p w:rsidR="00C0463A" w:rsidRPr="002C2254" w:rsidRDefault="00C0463A" w:rsidP="00251EE6">
                  <w:pPr>
                    <w:spacing w:before="120" w:after="120"/>
                    <w:jc w:val="center"/>
                    <w:rPr>
                      <w:rFonts w:ascii="Arial" w:hAnsi="Arial" w:cs="Arial"/>
                      <w:sz w:val="18"/>
                      <w:szCs w:val="18"/>
                    </w:rPr>
                  </w:pPr>
                </w:p>
              </w:tc>
              <w:tc>
                <w:tcPr>
                  <w:tcW w:w="1635" w:type="dxa"/>
                  <w:vMerge/>
                  <w:tcBorders>
                    <w:left w:val="nil"/>
                    <w:right w:val="nil"/>
                  </w:tcBorders>
                  <w:vAlign w:val="center"/>
                </w:tcPr>
                <w:p w:rsidR="00C0463A" w:rsidRPr="002C2254" w:rsidRDefault="00C0463A" w:rsidP="00251EE6">
                  <w:pPr>
                    <w:spacing w:before="120" w:after="120"/>
                    <w:jc w:val="center"/>
                    <w:rPr>
                      <w:rFonts w:ascii="Arial" w:hAnsi="Arial" w:cs="Arial"/>
                      <w:sz w:val="18"/>
                      <w:szCs w:val="18"/>
                    </w:rPr>
                  </w:pPr>
                </w:p>
              </w:tc>
              <w:tc>
                <w:tcPr>
                  <w:tcW w:w="1843" w:type="dxa"/>
                  <w:tcBorders>
                    <w:left w:val="nil"/>
                    <w:right w:val="nil"/>
                  </w:tcBorders>
                  <w:vAlign w:val="center"/>
                </w:tcPr>
                <w:p w:rsidR="00C0463A" w:rsidRPr="002C2254" w:rsidRDefault="00C0463A" w:rsidP="00251EE6">
                  <w:pPr>
                    <w:spacing w:before="120" w:after="120"/>
                    <w:jc w:val="center"/>
                    <w:rPr>
                      <w:rFonts w:ascii="Arial" w:hAnsi="Arial" w:cs="Arial"/>
                      <w:sz w:val="18"/>
                      <w:szCs w:val="18"/>
                    </w:rPr>
                  </w:pPr>
                  <w:r w:rsidRPr="002C2254">
                    <w:rPr>
                      <w:rFonts w:ascii="Arial" w:hAnsi="Arial" w:cs="Arial"/>
                      <w:sz w:val="18"/>
                      <w:szCs w:val="18"/>
                    </w:rPr>
                    <w:t>Caracterización fisicoquímica</w:t>
                  </w:r>
                </w:p>
              </w:tc>
              <w:tc>
                <w:tcPr>
                  <w:tcW w:w="1701" w:type="dxa"/>
                  <w:tcBorders>
                    <w:left w:val="nil"/>
                    <w:right w:val="nil"/>
                  </w:tcBorders>
                  <w:vAlign w:val="center"/>
                </w:tcPr>
                <w:p w:rsidR="00C0463A" w:rsidRPr="002C2254" w:rsidRDefault="00C0463A" w:rsidP="00C0463A">
                  <w:pPr>
                    <w:pStyle w:val="Prrafodelista"/>
                    <w:numPr>
                      <w:ilvl w:val="0"/>
                      <w:numId w:val="12"/>
                    </w:numPr>
                    <w:spacing w:before="120" w:after="120"/>
                    <w:ind w:left="216" w:hanging="216"/>
                    <w:rPr>
                      <w:rFonts w:ascii="Arial" w:hAnsi="Arial" w:cs="Arial"/>
                      <w:sz w:val="18"/>
                      <w:szCs w:val="18"/>
                    </w:rPr>
                  </w:pPr>
                  <w:r w:rsidRPr="002C2254">
                    <w:rPr>
                      <w:rFonts w:ascii="Arial" w:hAnsi="Arial" w:cs="Arial"/>
                      <w:sz w:val="18"/>
                      <w:szCs w:val="18"/>
                    </w:rPr>
                    <w:t>Rf (relación frontal)</w:t>
                  </w:r>
                </w:p>
                <w:p w:rsidR="00C0463A" w:rsidRPr="002C2254" w:rsidRDefault="00C0463A" w:rsidP="00C0463A">
                  <w:pPr>
                    <w:pStyle w:val="Prrafodelista"/>
                    <w:numPr>
                      <w:ilvl w:val="0"/>
                      <w:numId w:val="12"/>
                    </w:numPr>
                    <w:spacing w:before="120" w:after="120"/>
                    <w:ind w:left="216" w:hanging="216"/>
                    <w:rPr>
                      <w:rFonts w:ascii="Arial" w:hAnsi="Arial" w:cs="Arial"/>
                      <w:sz w:val="18"/>
                      <w:szCs w:val="18"/>
                    </w:rPr>
                  </w:pPr>
                  <w:r w:rsidRPr="002C2254">
                    <w:rPr>
                      <w:rFonts w:ascii="Arial" w:hAnsi="Arial" w:cs="Arial"/>
                      <w:sz w:val="18"/>
                      <w:szCs w:val="18"/>
                    </w:rPr>
                    <w:t>Análisis elemental</w:t>
                  </w:r>
                </w:p>
              </w:tc>
              <w:tc>
                <w:tcPr>
                  <w:tcW w:w="2321" w:type="dxa"/>
                  <w:tcBorders>
                    <w:left w:val="nil"/>
                    <w:right w:val="nil"/>
                  </w:tcBorders>
                  <w:vAlign w:val="center"/>
                </w:tcPr>
                <w:p w:rsidR="00C0463A" w:rsidRPr="002C2254" w:rsidRDefault="00C0463A" w:rsidP="00C0463A">
                  <w:pPr>
                    <w:pStyle w:val="Prrafodelista"/>
                    <w:numPr>
                      <w:ilvl w:val="0"/>
                      <w:numId w:val="12"/>
                    </w:numPr>
                    <w:spacing w:before="120" w:after="120"/>
                    <w:ind w:left="184" w:hanging="184"/>
                    <w:rPr>
                      <w:rFonts w:ascii="Arial" w:hAnsi="Arial" w:cs="Arial"/>
                      <w:sz w:val="18"/>
                      <w:szCs w:val="18"/>
                    </w:rPr>
                  </w:pPr>
                  <w:r w:rsidRPr="002C2254">
                    <w:rPr>
                      <w:rFonts w:ascii="Arial" w:hAnsi="Arial" w:cs="Arial"/>
                      <w:sz w:val="18"/>
                      <w:szCs w:val="18"/>
                    </w:rPr>
                    <w:t>Regla</w:t>
                  </w:r>
                </w:p>
                <w:p w:rsidR="00C0463A" w:rsidRPr="002C2254" w:rsidRDefault="00C0463A" w:rsidP="00C0463A">
                  <w:pPr>
                    <w:pStyle w:val="Prrafodelista"/>
                    <w:numPr>
                      <w:ilvl w:val="0"/>
                      <w:numId w:val="12"/>
                    </w:numPr>
                    <w:spacing w:before="120" w:after="120"/>
                    <w:ind w:left="184" w:hanging="184"/>
                    <w:rPr>
                      <w:rFonts w:ascii="Arial" w:hAnsi="Arial" w:cs="Arial"/>
                      <w:sz w:val="18"/>
                      <w:szCs w:val="18"/>
                    </w:rPr>
                  </w:pPr>
                  <w:r w:rsidRPr="002C2254">
                    <w:rPr>
                      <w:rFonts w:ascii="Arial" w:hAnsi="Arial" w:cs="Arial"/>
                      <w:sz w:val="18"/>
                      <w:szCs w:val="18"/>
                    </w:rPr>
                    <w:t>Analizador elemental CHNOS</w:t>
                  </w:r>
                </w:p>
              </w:tc>
            </w:tr>
            <w:tr w:rsidR="009F768E" w:rsidRPr="002C2254" w:rsidTr="00B93EE5">
              <w:trPr>
                <w:trHeight w:val="794"/>
              </w:trPr>
              <w:tc>
                <w:tcPr>
                  <w:tcW w:w="1875" w:type="dxa"/>
                  <w:vMerge/>
                  <w:tcBorders>
                    <w:left w:val="nil"/>
                    <w:bottom w:val="single" w:sz="18" w:space="0" w:color="auto"/>
                    <w:right w:val="nil"/>
                  </w:tcBorders>
                  <w:vAlign w:val="center"/>
                </w:tcPr>
                <w:p w:rsidR="00C0463A" w:rsidRPr="002C2254" w:rsidRDefault="00C0463A" w:rsidP="00251EE6">
                  <w:pPr>
                    <w:spacing w:before="120" w:after="120"/>
                    <w:jc w:val="center"/>
                    <w:rPr>
                      <w:rFonts w:ascii="Arial" w:hAnsi="Arial" w:cs="Arial"/>
                      <w:sz w:val="18"/>
                      <w:szCs w:val="18"/>
                    </w:rPr>
                  </w:pPr>
                </w:p>
              </w:tc>
              <w:tc>
                <w:tcPr>
                  <w:tcW w:w="1635" w:type="dxa"/>
                  <w:vMerge/>
                  <w:tcBorders>
                    <w:left w:val="nil"/>
                    <w:bottom w:val="single" w:sz="18" w:space="0" w:color="auto"/>
                    <w:right w:val="nil"/>
                  </w:tcBorders>
                  <w:vAlign w:val="center"/>
                </w:tcPr>
                <w:p w:rsidR="00C0463A" w:rsidRPr="002C2254" w:rsidRDefault="00C0463A" w:rsidP="00251EE6">
                  <w:pPr>
                    <w:spacing w:before="120" w:after="120"/>
                    <w:jc w:val="center"/>
                    <w:rPr>
                      <w:rFonts w:ascii="Arial" w:hAnsi="Arial" w:cs="Arial"/>
                      <w:sz w:val="18"/>
                      <w:szCs w:val="18"/>
                    </w:rPr>
                  </w:pPr>
                </w:p>
              </w:tc>
              <w:tc>
                <w:tcPr>
                  <w:tcW w:w="1843" w:type="dxa"/>
                  <w:tcBorders>
                    <w:left w:val="nil"/>
                    <w:bottom w:val="single" w:sz="18" w:space="0" w:color="auto"/>
                    <w:right w:val="nil"/>
                  </w:tcBorders>
                  <w:vAlign w:val="center"/>
                </w:tcPr>
                <w:p w:rsidR="00C0463A" w:rsidRPr="002C2254" w:rsidRDefault="00C0463A" w:rsidP="00251EE6">
                  <w:pPr>
                    <w:spacing w:before="120" w:after="120"/>
                    <w:jc w:val="center"/>
                    <w:rPr>
                      <w:rFonts w:ascii="Arial" w:hAnsi="Arial" w:cs="Arial"/>
                      <w:sz w:val="18"/>
                      <w:szCs w:val="18"/>
                    </w:rPr>
                  </w:pPr>
                  <w:r w:rsidRPr="002C2254">
                    <w:rPr>
                      <w:rFonts w:ascii="Arial" w:hAnsi="Arial" w:cs="Arial"/>
                      <w:sz w:val="18"/>
                      <w:szCs w:val="18"/>
                    </w:rPr>
                    <w:t>Caracterización espectroscópica</w:t>
                  </w:r>
                </w:p>
              </w:tc>
              <w:tc>
                <w:tcPr>
                  <w:tcW w:w="1701" w:type="dxa"/>
                  <w:tcBorders>
                    <w:left w:val="nil"/>
                    <w:bottom w:val="single" w:sz="18" w:space="0" w:color="auto"/>
                    <w:right w:val="nil"/>
                  </w:tcBorders>
                  <w:vAlign w:val="center"/>
                </w:tcPr>
                <w:p w:rsidR="00C0463A" w:rsidRPr="002C2254" w:rsidRDefault="00C0463A" w:rsidP="00C0463A">
                  <w:pPr>
                    <w:pStyle w:val="Prrafodelista"/>
                    <w:numPr>
                      <w:ilvl w:val="0"/>
                      <w:numId w:val="12"/>
                    </w:numPr>
                    <w:spacing w:before="120" w:after="120"/>
                    <w:ind w:left="216" w:hanging="216"/>
                    <w:rPr>
                      <w:rFonts w:ascii="Arial" w:hAnsi="Arial" w:cs="Arial"/>
                      <w:sz w:val="18"/>
                      <w:szCs w:val="18"/>
                    </w:rPr>
                  </w:pPr>
                  <w:r w:rsidRPr="002C2254">
                    <w:rPr>
                      <w:rFonts w:ascii="Arial" w:hAnsi="Arial" w:cs="Arial"/>
                      <w:sz w:val="18"/>
                      <w:szCs w:val="18"/>
                    </w:rPr>
                    <w:t>IR</w:t>
                  </w:r>
                </w:p>
                <w:p w:rsidR="00C0463A" w:rsidRPr="002C2254" w:rsidRDefault="00C0463A" w:rsidP="00C0463A">
                  <w:pPr>
                    <w:pStyle w:val="Prrafodelista"/>
                    <w:numPr>
                      <w:ilvl w:val="0"/>
                      <w:numId w:val="12"/>
                    </w:numPr>
                    <w:spacing w:before="120" w:after="120"/>
                    <w:ind w:left="216" w:hanging="216"/>
                    <w:rPr>
                      <w:rFonts w:ascii="Arial" w:hAnsi="Arial" w:cs="Arial"/>
                      <w:sz w:val="18"/>
                      <w:szCs w:val="18"/>
                    </w:rPr>
                  </w:pPr>
                  <w:r w:rsidRPr="002C2254">
                    <w:rPr>
                      <w:rFonts w:ascii="Arial" w:hAnsi="Arial" w:cs="Arial"/>
                      <w:sz w:val="18"/>
                      <w:szCs w:val="18"/>
                    </w:rPr>
                    <w:t>UV-vis</w:t>
                  </w:r>
                </w:p>
                <w:p w:rsidR="00C0463A" w:rsidRPr="002C2254" w:rsidRDefault="00C0463A" w:rsidP="00C0463A">
                  <w:pPr>
                    <w:pStyle w:val="Prrafodelista"/>
                    <w:numPr>
                      <w:ilvl w:val="0"/>
                      <w:numId w:val="12"/>
                    </w:numPr>
                    <w:spacing w:before="120" w:after="120"/>
                    <w:ind w:left="216" w:hanging="216"/>
                    <w:rPr>
                      <w:rFonts w:ascii="Arial" w:hAnsi="Arial" w:cs="Arial"/>
                      <w:sz w:val="18"/>
                      <w:szCs w:val="18"/>
                    </w:rPr>
                  </w:pPr>
                  <w:r w:rsidRPr="002C2254">
                    <w:rPr>
                      <w:rFonts w:ascii="Arial" w:hAnsi="Arial" w:cs="Arial"/>
                      <w:sz w:val="18"/>
                      <w:szCs w:val="18"/>
                    </w:rPr>
                    <w:t>RMN (</w:t>
                  </w:r>
                  <w:r w:rsidRPr="002C2254">
                    <w:rPr>
                      <w:rFonts w:ascii="Arial" w:hAnsi="Arial" w:cs="Arial"/>
                      <w:sz w:val="18"/>
                      <w:szCs w:val="18"/>
                      <w:vertAlign w:val="superscript"/>
                    </w:rPr>
                    <w:t>1</w:t>
                  </w:r>
                  <w:r w:rsidRPr="002C2254">
                    <w:rPr>
                      <w:rFonts w:ascii="Arial" w:hAnsi="Arial" w:cs="Arial"/>
                      <w:sz w:val="18"/>
                      <w:szCs w:val="18"/>
                    </w:rPr>
                    <w:t xml:space="preserve">H y </w:t>
                  </w:r>
                  <w:r w:rsidRPr="002C2254">
                    <w:rPr>
                      <w:rFonts w:ascii="Arial" w:hAnsi="Arial" w:cs="Arial"/>
                      <w:sz w:val="18"/>
                      <w:szCs w:val="18"/>
                      <w:vertAlign w:val="superscript"/>
                    </w:rPr>
                    <w:t>13</w:t>
                  </w:r>
                  <w:r w:rsidRPr="002C2254">
                    <w:rPr>
                      <w:rFonts w:ascii="Arial" w:hAnsi="Arial" w:cs="Arial"/>
                      <w:sz w:val="18"/>
                      <w:szCs w:val="18"/>
                    </w:rPr>
                    <w:t>C)</w:t>
                  </w:r>
                </w:p>
                <w:p w:rsidR="00C0463A" w:rsidRPr="002C2254" w:rsidRDefault="00C0463A" w:rsidP="00C0463A">
                  <w:pPr>
                    <w:pStyle w:val="Prrafodelista"/>
                    <w:numPr>
                      <w:ilvl w:val="0"/>
                      <w:numId w:val="12"/>
                    </w:numPr>
                    <w:spacing w:before="120" w:after="120"/>
                    <w:ind w:left="216" w:hanging="216"/>
                    <w:rPr>
                      <w:rFonts w:ascii="Arial" w:hAnsi="Arial" w:cs="Arial"/>
                      <w:sz w:val="18"/>
                      <w:szCs w:val="18"/>
                    </w:rPr>
                  </w:pPr>
                  <w:r w:rsidRPr="002C2254">
                    <w:rPr>
                      <w:rFonts w:ascii="Arial" w:hAnsi="Arial" w:cs="Arial"/>
                      <w:sz w:val="18"/>
                      <w:szCs w:val="18"/>
                    </w:rPr>
                    <w:t>ESI-MS</w:t>
                  </w:r>
                </w:p>
                <w:p w:rsidR="00C0463A" w:rsidRPr="002C2254" w:rsidRDefault="00C0463A" w:rsidP="00C0463A">
                  <w:pPr>
                    <w:pStyle w:val="Prrafodelista"/>
                    <w:numPr>
                      <w:ilvl w:val="0"/>
                      <w:numId w:val="12"/>
                    </w:numPr>
                    <w:spacing w:before="120" w:after="120"/>
                    <w:ind w:left="216" w:hanging="216"/>
                    <w:rPr>
                      <w:rFonts w:ascii="Arial" w:hAnsi="Arial" w:cs="Arial"/>
                      <w:sz w:val="18"/>
                      <w:szCs w:val="18"/>
                    </w:rPr>
                  </w:pPr>
                  <w:r w:rsidRPr="002C2254">
                    <w:rPr>
                      <w:rFonts w:ascii="Arial" w:hAnsi="Arial" w:cs="Arial"/>
                      <w:sz w:val="18"/>
                      <w:szCs w:val="18"/>
                    </w:rPr>
                    <w:t>DRX</w:t>
                  </w:r>
                </w:p>
              </w:tc>
              <w:tc>
                <w:tcPr>
                  <w:tcW w:w="2321" w:type="dxa"/>
                  <w:tcBorders>
                    <w:left w:val="nil"/>
                    <w:bottom w:val="single" w:sz="18" w:space="0" w:color="auto"/>
                    <w:right w:val="nil"/>
                  </w:tcBorders>
                  <w:vAlign w:val="center"/>
                </w:tcPr>
                <w:p w:rsidR="00C0463A" w:rsidRPr="002C2254" w:rsidRDefault="00C0463A" w:rsidP="00C0463A">
                  <w:pPr>
                    <w:pStyle w:val="Prrafodelista"/>
                    <w:numPr>
                      <w:ilvl w:val="0"/>
                      <w:numId w:val="12"/>
                    </w:numPr>
                    <w:spacing w:before="120" w:after="120"/>
                    <w:ind w:left="184" w:hanging="184"/>
                    <w:rPr>
                      <w:rFonts w:ascii="Arial" w:hAnsi="Arial" w:cs="Arial"/>
                      <w:sz w:val="18"/>
                      <w:szCs w:val="18"/>
                    </w:rPr>
                  </w:pPr>
                  <w:r w:rsidRPr="002C2254">
                    <w:rPr>
                      <w:rFonts w:ascii="Arial" w:hAnsi="Arial" w:cs="Arial"/>
                      <w:sz w:val="18"/>
                      <w:szCs w:val="18"/>
                    </w:rPr>
                    <w:t>Espectrofotómetro IR y UV-vis</w:t>
                  </w:r>
                </w:p>
                <w:p w:rsidR="00C0463A" w:rsidRPr="002C2254" w:rsidRDefault="00C0463A" w:rsidP="00C0463A">
                  <w:pPr>
                    <w:pStyle w:val="Prrafodelista"/>
                    <w:numPr>
                      <w:ilvl w:val="0"/>
                      <w:numId w:val="12"/>
                    </w:numPr>
                    <w:spacing w:before="120" w:after="120"/>
                    <w:ind w:left="184" w:hanging="184"/>
                    <w:rPr>
                      <w:rFonts w:ascii="Arial" w:hAnsi="Arial" w:cs="Arial"/>
                      <w:sz w:val="18"/>
                      <w:szCs w:val="18"/>
                    </w:rPr>
                  </w:pPr>
                  <w:r w:rsidRPr="002C2254">
                    <w:rPr>
                      <w:rFonts w:ascii="Arial" w:hAnsi="Arial" w:cs="Arial"/>
                      <w:sz w:val="18"/>
                      <w:szCs w:val="18"/>
                    </w:rPr>
                    <w:t>Espectrómetro de RMN y Masas</w:t>
                  </w:r>
                </w:p>
                <w:p w:rsidR="00C0463A" w:rsidRPr="002C2254" w:rsidRDefault="00C0463A" w:rsidP="00C0463A">
                  <w:pPr>
                    <w:pStyle w:val="Prrafodelista"/>
                    <w:numPr>
                      <w:ilvl w:val="0"/>
                      <w:numId w:val="12"/>
                    </w:numPr>
                    <w:spacing w:before="120" w:after="120"/>
                    <w:ind w:left="184" w:hanging="184"/>
                    <w:rPr>
                      <w:rFonts w:ascii="Arial" w:hAnsi="Arial" w:cs="Arial"/>
                      <w:sz w:val="18"/>
                      <w:szCs w:val="18"/>
                    </w:rPr>
                  </w:pPr>
                  <w:r w:rsidRPr="002C2254">
                    <w:rPr>
                      <w:rFonts w:ascii="Arial" w:hAnsi="Arial" w:cs="Arial"/>
                      <w:sz w:val="18"/>
                      <w:szCs w:val="18"/>
                    </w:rPr>
                    <w:t>Difractómetro de rayos X</w:t>
                  </w:r>
                </w:p>
              </w:tc>
            </w:tr>
            <w:tr w:rsidR="009F768E" w:rsidRPr="002C2254" w:rsidTr="00B93EE5">
              <w:tc>
                <w:tcPr>
                  <w:tcW w:w="1875" w:type="dxa"/>
                  <w:vMerge w:val="restart"/>
                  <w:tcBorders>
                    <w:top w:val="single" w:sz="18" w:space="0" w:color="auto"/>
                    <w:left w:val="nil"/>
                    <w:right w:val="nil"/>
                  </w:tcBorders>
                  <w:vAlign w:val="center"/>
                </w:tcPr>
                <w:p w:rsidR="00C0463A" w:rsidRPr="002C2254" w:rsidRDefault="00C0463A" w:rsidP="00251EE6">
                  <w:pPr>
                    <w:spacing w:before="120" w:after="120"/>
                    <w:jc w:val="center"/>
                    <w:rPr>
                      <w:rFonts w:ascii="Arial" w:hAnsi="Arial" w:cs="Arial"/>
                      <w:sz w:val="18"/>
                      <w:szCs w:val="18"/>
                    </w:rPr>
                  </w:pPr>
                  <w:r w:rsidRPr="002C2254">
                    <w:rPr>
                      <w:rFonts w:ascii="Arial" w:hAnsi="Arial" w:cs="Arial"/>
                      <w:sz w:val="18"/>
                      <w:szCs w:val="18"/>
                    </w:rPr>
                    <w:t>Relación estructura química-actividad biológica</w:t>
                  </w:r>
                </w:p>
              </w:tc>
              <w:tc>
                <w:tcPr>
                  <w:tcW w:w="1635" w:type="dxa"/>
                  <w:vMerge w:val="restart"/>
                  <w:tcBorders>
                    <w:top w:val="single" w:sz="18" w:space="0" w:color="auto"/>
                    <w:left w:val="nil"/>
                    <w:right w:val="nil"/>
                  </w:tcBorders>
                  <w:vAlign w:val="center"/>
                </w:tcPr>
                <w:p w:rsidR="00C0463A" w:rsidRPr="002C2254" w:rsidRDefault="00C0463A" w:rsidP="00251EE6">
                  <w:pPr>
                    <w:spacing w:before="120" w:after="120"/>
                    <w:jc w:val="center"/>
                    <w:rPr>
                      <w:rFonts w:ascii="Arial" w:hAnsi="Arial" w:cs="Arial"/>
                      <w:sz w:val="18"/>
                      <w:szCs w:val="18"/>
                    </w:rPr>
                  </w:pPr>
                  <w:r w:rsidRPr="002C2254">
                    <w:rPr>
                      <w:rFonts w:ascii="Arial" w:hAnsi="Arial" w:cs="Arial"/>
                      <w:sz w:val="18"/>
                      <w:szCs w:val="18"/>
                    </w:rPr>
                    <w:t>Modelado molecular</w:t>
                  </w:r>
                </w:p>
              </w:tc>
              <w:tc>
                <w:tcPr>
                  <w:tcW w:w="1843" w:type="dxa"/>
                  <w:tcBorders>
                    <w:top w:val="single" w:sz="18" w:space="0" w:color="auto"/>
                    <w:left w:val="nil"/>
                    <w:right w:val="nil"/>
                  </w:tcBorders>
                  <w:vAlign w:val="center"/>
                </w:tcPr>
                <w:p w:rsidR="00C0463A" w:rsidRPr="002C2254" w:rsidRDefault="00C0463A" w:rsidP="00251EE6">
                  <w:pPr>
                    <w:spacing w:before="120" w:after="120"/>
                    <w:jc w:val="center"/>
                    <w:rPr>
                      <w:rFonts w:ascii="Arial" w:hAnsi="Arial" w:cs="Arial"/>
                      <w:sz w:val="18"/>
                      <w:szCs w:val="18"/>
                    </w:rPr>
                  </w:pPr>
                  <w:r w:rsidRPr="002C2254">
                    <w:rPr>
                      <w:rFonts w:ascii="Arial" w:hAnsi="Arial" w:cs="Arial"/>
                      <w:sz w:val="18"/>
                      <w:szCs w:val="18"/>
                    </w:rPr>
                    <w:t>Docking molecular con moléculas de agua</w:t>
                  </w:r>
                </w:p>
              </w:tc>
              <w:tc>
                <w:tcPr>
                  <w:tcW w:w="1701" w:type="dxa"/>
                  <w:tcBorders>
                    <w:top w:val="single" w:sz="18" w:space="0" w:color="auto"/>
                    <w:left w:val="nil"/>
                    <w:right w:val="nil"/>
                  </w:tcBorders>
                  <w:vAlign w:val="center"/>
                </w:tcPr>
                <w:p w:rsidR="00C0463A" w:rsidRPr="002C2254" w:rsidRDefault="00C0463A" w:rsidP="00C0463A">
                  <w:pPr>
                    <w:pStyle w:val="Prrafodelista"/>
                    <w:numPr>
                      <w:ilvl w:val="0"/>
                      <w:numId w:val="12"/>
                    </w:numPr>
                    <w:spacing w:before="120" w:after="120"/>
                    <w:ind w:left="216" w:hanging="216"/>
                    <w:rPr>
                      <w:rFonts w:ascii="Arial" w:hAnsi="Arial" w:cs="Arial"/>
                      <w:sz w:val="18"/>
                      <w:szCs w:val="18"/>
                    </w:rPr>
                  </w:pPr>
                  <w:r w:rsidRPr="002C2254">
                    <w:rPr>
                      <w:rFonts w:ascii="Arial" w:hAnsi="Arial" w:cs="Arial"/>
                      <w:sz w:val="18"/>
                      <w:szCs w:val="18"/>
                    </w:rPr>
                    <w:t>Tipos de interacciones ligandos- β-hematina</w:t>
                  </w:r>
                </w:p>
              </w:tc>
              <w:tc>
                <w:tcPr>
                  <w:tcW w:w="2321" w:type="dxa"/>
                  <w:vMerge w:val="restart"/>
                  <w:tcBorders>
                    <w:top w:val="single" w:sz="18" w:space="0" w:color="auto"/>
                    <w:left w:val="nil"/>
                    <w:bottom w:val="single" w:sz="18" w:space="0" w:color="auto"/>
                    <w:right w:val="nil"/>
                  </w:tcBorders>
                  <w:vAlign w:val="center"/>
                </w:tcPr>
                <w:p w:rsidR="00C0463A" w:rsidRPr="002C2254" w:rsidRDefault="00C0463A" w:rsidP="00C0463A">
                  <w:pPr>
                    <w:pStyle w:val="Prrafodelista"/>
                    <w:numPr>
                      <w:ilvl w:val="0"/>
                      <w:numId w:val="12"/>
                    </w:numPr>
                    <w:spacing w:before="120" w:after="120"/>
                    <w:ind w:left="184" w:hanging="184"/>
                    <w:rPr>
                      <w:rFonts w:ascii="Arial" w:hAnsi="Arial" w:cs="Arial"/>
                      <w:sz w:val="18"/>
                      <w:szCs w:val="18"/>
                    </w:rPr>
                  </w:pPr>
                  <w:r w:rsidRPr="002C2254">
                    <w:rPr>
                      <w:rFonts w:ascii="Arial" w:hAnsi="Arial" w:cs="Arial"/>
                      <w:sz w:val="18"/>
                      <w:szCs w:val="18"/>
                    </w:rPr>
                    <w:t>Computador</w:t>
                  </w:r>
                </w:p>
                <w:p w:rsidR="00C0463A" w:rsidRPr="002C2254" w:rsidRDefault="00C0463A" w:rsidP="00C0463A">
                  <w:pPr>
                    <w:pStyle w:val="Prrafodelista"/>
                    <w:numPr>
                      <w:ilvl w:val="0"/>
                      <w:numId w:val="12"/>
                    </w:numPr>
                    <w:spacing w:before="120" w:after="120"/>
                    <w:ind w:left="184" w:hanging="184"/>
                    <w:rPr>
                      <w:rFonts w:ascii="Arial" w:hAnsi="Arial" w:cs="Arial"/>
                      <w:sz w:val="18"/>
                      <w:szCs w:val="18"/>
                    </w:rPr>
                  </w:pPr>
                  <w:r w:rsidRPr="002C2254">
                    <w:rPr>
                      <w:rFonts w:ascii="Arial" w:hAnsi="Arial" w:cs="Arial"/>
                      <w:sz w:val="18"/>
                      <w:szCs w:val="18"/>
                    </w:rPr>
                    <w:t>Software ArgusLab 4.0.1</w:t>
                  </w:r>
                </w:p>
              </w:tc>
            </w:tr>
            <w:tr w:rsidR="009F768E" w:rsidRPr="002C2254" w:rsidTr="00B93EE5">
              <w:tc>
                <w:tcPr>
                  <w:tcW w:w="1875" w:type="dxa"/>
                  <w:vMerge/>
                  <w:tcBorders>
                    <w:left w:val="nil"/>
                    <w:bottom w:val="single" w:sz="18" w:space="0" w:color="auto"/>
                    <w:right w:val="nil"/>
                  </w:tcBorders>
                  <w:vAlign w:val="center"/>
                </w:tcPr>
                <w:p w:rsidR="00C0463A" w:rsidRPr="002C2254" w:rsidRDefault="00C0463A" w:rsidP="00251EE6">
                  <w:pPr>
                    <w:spacing w:before="120" w:after="120"/>
                    <w:jc w:val="center"/>
                    <w:rPr>
                      <w:rFonts w:ascii="Arial" w:hAnsi="Arial" w:cs="Arial"/>
                      <w:sz w:val="18"/>
                      <w:szCs w:val="18"/>
                    </w:rPr>
                  </w:pPr>
                </w:p>
              </w:tc>
              <w:tc>
                <w:tcPr>
                  <w:tcW w:w="1635" w:type="dxa"/>
                  <w:vMerge/>
                  <w:tcBorders>
                    <w:left w:val="nil"/>
                    <w:bottom w:val="single" w:sz="18" w:space="0" w:color="auto"/>
                    <w:right w:val="nil"/>
                  </w:tcBorders>
                  <w:vAlign w:val="center"/>
                </w:tcPr>
                <w:p w:rsidR="00C0463A" w:rsidRPr="002C2254" w:rsidRDefault="00C0463A" w:rsidP="00251EE6">
                  <w:pPr>
                    <w:spacing w:before="120" w:after="120"/>
                    <w:jc w:val="center"/>
                    <w:rPr>
                      <w:rFonts w:ascii="Arial" w:hAnsi="Arial" w:cs="Arial"/>
                      <w:sz w:val="18"/>
                      <w:szCs w:val="18"/>
                    </w:rPr>
                  </w:pPr>
                </w:p>
              </w:tc>
              <w:tc>
                <w:tcPr>
                  <w:tcW w:w="1843" w:type="dxa"/>
                  <w:tcBorders>
                    <w:left w:val="nil"/>
                    <w:bottom w:val="single" w:sz="18" w:space="0" w:color="auto"/>
                    <w:right w:val="nil"/>
                  </w:tcBorders>
                  <w:vAlign w:val="center"/>
                </w:tcPr>
                <w:p w:rsidR="00C0463A" w:rsidRPr="002C2254" w:rsidRDefault="00C0463A" w:rsidP="00251EE6">
                  <w:pPr>
                    <w:spacing w:before="120" w:after="120"/>
                    <w:jc w:val="center"/>
                    <w:rPr>
                      <w:rFonts w:ascii="Arial" w:hAnsi="Arial" w:cs="Arial"/>
                      <w:sz w:val="18"/>
                      <w:szCs w:val="18"/>
                    </w:rPr>
                  </w:pPr>
                  <w:r w:rsidRPr="002C2254">
                    <w:rPr>
                      <w:rFonts w:ascii="Arial" w:hAnsi="Arial" w:cs="Arial"/>
                      <w:sz w:val="18"/>
                      <w:szCs w:val="18"/>
                    </w:rPr>
                    <w:t>Docking molecular sin moléculas de agua</w:t>
                  </w:r>
                </w:p>
              </w:tc>
              <w:tc>
                <w:tcPr>
                  <w:tcW w:w="1701" w:type="dxa"/>
                  <w:tcBorders>
                    <w:left w:val="nil"/>
                    <w:bottom w:val="single" w:sz="18" w:space="0" w:color="auto"/>
                    <w:right w:val="nil"/>
                  </w:tcBorders>
                  <w:vAlign w:val="center"/>
                </w:tcPr>
                <w:p w:rsidR="00C0463A" w:rsidRPr="002C2254" w:rsidRDefault="00C0463A" w:rsidP="00C0463A">
                  <w:pPr>
                    <w:pStyle w:val="Prrafodelista"/>
                    <w:numPr>
                      <w:ilvl w:val="0"/>
                      <w:numId w:val="12"/>
                    </w:numPr>
                    <w:spacing w:before="120" w:after="120"/>
                    <w:ind w:left="216" w:hanging="216"/>
                    <w:rPr>
                      <w:rFonts w:ascii="Arial" w:hAnsi="Arial" w:cs="Arial"/>
                      <w:sz w:val="18"/>
                      <w:szCs w:val="18"/>
                    </w:rPr>
                  </w:pPr>
                  <w:r w:rsidRPr="002C2254">
                    <w:rPr>
                      <w:rFonts w:ascii="Arial" w:hAnsi="Arial" w:cs="Arial"/>
                      <w:sz w:val="18"/>
                      <w:szCs w:val="18"/>
                    </w:rPr>
                    <w:t>Tipos de interacciones ligandos-agua- β-hematina</w:t>
                  </w:r>
                </w:p>
              </w:tc>
              <w:tc>
                <w:tcPr>
                  <w:tcW w:w="2321" w:type="dxa"/>
                  <w:vMerge/>
                  <w:tcBorders>
                    <w:left w:val="nil"/>
                    <w:bottom w:val="single" w:sz="18" w:space="0" w:color="auto"/>
                    <w:right w:val="nil"/>
                  </w:tcBorders>
                </w:tcPr>
                <w:p w:rsidR="00C0463A" w:rsidRPr="002C2254" w:rsidRDefault="00C0463A" w:rsidP="00251EE6">
                  <w:pPr>
                    <w:spacing w:before="120" w:after="120"/>
                    <w:rPr>
                      <w:rFonts w:ascii="Arial" w:hAnsi="Arial" w:cs="Arial"/>
                      <w:sz w:val="18"/>
                      <w:szCs w:val="18"/>
                    </w:rPr>
                  </w:pPr>
                </w:p>
              </w:tc>
            </w:tr>
          </w:tbl>
          <w:p w:rsidR="00E776DF" w:rsidRPr="003C18B5" w:rsidRDefault="00E776DF" w:rsidP="00251EE6">
            <w:pPr>
              <w:spacing w:before="120" w:after="120"/>
              <w:jc w:val="center"/>
              <w:rPr>
                <w:rFonts w:ascii="Arial" w:hAnsi="Arial" w:cs="Arial"/>
              </w:rPr>
            </w:pPr>
          </w:p>
        </w:tc>
      </w:tr>
    </w:tbl>
    <w:p w:rsidR="00ED08D6" w:rsidRDefault="00ED08D6" w:rsidP="00F635FC">
      <w:pPr>
        <w:rPr>
          <w:rFonts w:ascii="Arial" w:hAnsi="Arial" w:cs="Arial"/>
          <w:b/>
        </w:rPr>
      </w:pPr>
    </w:p>
    <w:p w:rsidR="007C5087" w:rsidRDefault="007C5087" w:rsidP="00F635FC">
      <w:pPr>
        <w:rPr>
          <w:rFonts w:ascii="Arial" w:hAnsi="Arial" w:cs="Arial"/>
          <w:b/>
        </w:rPr>
      </w:pPr>
    </w:p>
    <w:p w:rsidR="007C5087" w:rsidRPr="003C18B5" w:rsidRDefault="007C5087" w:rsidP="00F635FC">
      <w:pPr>
        <w:rPr>
          <w:rFonts w:ascii="Arial" w:hAnsi="Arial" w:cs="Arial"/>
          <w:b/>
        </w:rPr>
      </w:pPr>
    </w:p>
    <w:tbl>
      <w:tblPr>
        <w:tblStyle w:val="Tablaconcuadrcula"/>
        <w:tblW w:w="9606" w:type="dxa"/>
        <w:tblLayout w:type="fixed"/>
        <w:tblLook w:val="04A0"/>
      </w:tblPr>
      <w:tblGrid>
        <w:gridCol w:w="9606"/>
      </w:tblGrid>
      <w:tr w:rsidR="008F3B2C" w:rsidRPr="003C18B5" w:rsidTr="002048FF">
        <w:trPr>
          <w:trHeight w:val="261"/>
        </w:trPr>
        <w:tc>
          <w:tcPr>
            <w:tcW w:w="9606" w:type="dxa"/>
            <w:shd w:val="clear" w:color="auto" w:fill="9CC2E5" w:themeFill="accent1" w:themeFillTint="99"/>
            <w:vAlign w:val="bottom"/>
          </w:tcPr>
          <w:p w:rsidR="008F3B2C" w:rsidRPr="003C18B5" w:rsidRDefault="008F3B2C" w:rsidP="005742D4">
            <w:pPr>
              <w:spacing w:after="0"/>
              <w:rPr>
                <w:rFonts w:ascii="Arial" w:hAnsi="Arial" w:cs="Arial"/>
              </w:rPr>
            </w:pPr>
            <w:r w:rsidRPr="003C18B5">
              <w:rPr>
                <w:rFonts w:ascii="Arial" w:hAnsi="Arial" w:cs="Arial"/>
              </w:rPr>
              <w:lastRenderedPageBreak/>
              <w:t xml:space="preserve">10.4.- Procedimientos </w:t>
            </w:r>
            <w:r w:rsidR="00F9400E" w:rsidRPr="003C18B5">
              <w:rPr>
                <w:rFonts w:ascii="Arial" w:hAnsi="Arial" w:cs="Arial"/>
              </w:rPr>
              <w:t>(Método operativo del estudio)</w:t>
            </w:r>
          </w:p>
          <w:p w:rsidR="008F3B2C" w:rsidRPr="003C18B5" w:rsidRDefault="005742D4" w:rsidP="00AE76C9">
            <w:pPr>
              <w:spacing w:after="0"/>
              <w:rPr>
                <w:rFonts w:ascii="Arial" w:hAnsi="Arial" w:cs="Arial"/>
                <w:i/>
              </w:rPr>
            </w:pPr>
            <w:r w:rsidRPr="003C18B5">
              <w:rPr>
                <w:rFonts w:ascii="Arial" w:hAnsi="Arial" w:cs="Arial"/>
                <w:i/>
              </w:rPr>
              <w:t>(</w:t>
            </w:r>
            <w:r w:rsidR="008F3B2C" w:rsidRPr="003C18B5">
              <w:rPr>
                <w:rFonts w:ascii="Arial" w:hAnsi="Arial" w:cs="Arial"/>
                <w:i/>
              </w:rPr>
              <w:t>Describe secuencial</w:t>
            </w:r>
            <w:r w:rsidR="00AD32A9" w:rsidRPr="003C18B5">
              <w:rPr>
                <w:rFonts w:ascii="Arial" w:hAnsi="Arial" w:cs="Arial"/>
                <w:i/>
              </w:rPr>
              <w:t xml:space="preserve"> y cronológicamente </w:t>
            </w:r>
            <w:r w:rsidRPr="003C18B5">
              <w:rPr>
                <w:rFonts w:ascii="Arial" w:hAnsi="Arial" w:cs="Arial"/>
                <w:i/>
              </w:rPr>
              <w:t>todas las</w:t>
            </w:r>
            <w:r w:rsidR="008F3B2C" w:rsidRPr="003C18B5">
              <w:rPr>
                <w:rFonts w:ascii="Arial" w:hAnsi="Arial" w:cs="Arial"/>
                <w:i/>
              </w:rPr>
              <w:t xml:space="preserve"> ac</w:t>
            </w:r>
            <w:r w:rsidR="00AE76C9" w:rsidRPr="003C18B5">
              <w:rPr>
                <w:rFonts w:ascii="Arial" w:hAnsi="Arial" w:cs="Arial"/>
                <w:i/>
              </w:rPr>
              <w:t>tividades</w:t>
            </w:r>
            <w:r w:rsidR="006A2E23" w:rsidRPr="003C18B5">
              <w:rPr>
                <w:rFonts w:ascii="Arial" w:hAnsi="Arial" w:cs="Arial"/>
                <w:i/>
              </w:rPr>
              <w:t xml:space="preserve"> </w:t>
            </w:r>
            <w:r w:rsidRPr="003C18B5">
              <w:rPr>
                <w:rFonts w:ascii="Arial" w:hAnsi="Arial" w:cs="Arial"/>
                <w:i/>
              </w:rPr>
              <w:t>que seguirá la investigación</w:t>
            </w:r>
            <w:r w:rsidR="00AD32A9" w:rsidRPr="003C18B5">
              <w:rPr>
                <w:rFonts w:ascii="Arial" w:hAnsi="Arial" w:cs="Arial"/>
                <w:i/>
              </w:rPr>
              <w:t xml:space="preserve"> y deben ir de acuerdo con los objetivos específicos</w:t>
            </w:r>
            <w:r w:rsidRPr="003C18B5">
              <w:rPr>
                <w:rFonts w:ascii="Arial" w:hAnsi="Arial" w:cs="Arial"/>
                <w:i/>
              </w:rPr>
              <w:t>)</w:t>
            </w:r>
          </w:p>
        </w:tc>
      </w:tr>
      <w:tr w:rsidR="008F3B2C" w:rsidRPr="003C18B5" w:rsidTr="005742D4">
        <w:trPr>
          <w:trHeight w:val="548"/>
        </w:trPr>
        <w:tc>
          <w:tcPr>
            <w:tcW w:w="9606" w:type="dxa"/>
          </w:tcPr>
          <w:p w:rsidR="008F3B2C" w:rsidRPr="003C18B5" w:rsidRDefault="002B569B" w:rsidP="00ED528E">
            <w:pPr>
              <w:spacing w:before="120" w:after="120"/>
              <w:rPr>
                <w:rFonts w:ascii="Arial" w:hAnsi="Arial" w:cs="Arial"/>
              </w:rPr>
            </w:pPr>
            <w:r w:rsidRPr="00ED528E">
              <w:rPr>
                <w:rFonts w:ascii="Arial" w:hAnsi="Arial" w:cs="Arial"/>
                <w:b/>
              </w:rPr>
              <w:t>OE1</w:t>
            </w:r>
            <w:r w:rsidR="00BB0DA9" w:rsidRPr="00ED528E">
              <w:rPr>
                <w:rFonts w:ascii="Arial" w:hAnsi="Arial" w:cs="Arial"/>
                <w:b/>
              </w:rPr>
              <w:t>:</w:t>
            </w:r>
            <w:r w:rsidR="00BB0DA9" w:rsidRPr="003C18B5">
              <w:rPr>
                <w:rFonts w:ascii="Arial" w:hAnsi="Arial" w:cs="Arial"/>
              </w:rPr>
              <w:t xml:space="preserve"> </w:t>
            </w:r>
            <w:r w:rsidR="00BB0DA9" w:rsidRPr="003C18B5">
              <w:rPr>
                <w:rFonts w:ascii="Arial" w:hAnsi="Arial" w:cs="Arial"/>
                <w:lang w:val="es-VE"/>
              </w:rPr>
              <w:t xml:space="preserve">Sintetizar, de ser posible a través de métodos de Química Verde, derivados de semicarbazonas, tiosemicarbazonas y </w:t>
            </w:r>
            <w:r w:rsidR="00BB0DA9" w:rsidRPr="003C18B5">
              <w:rPr>
                <w:rFonts w:ascii="Arial" w:hAnsi="Arial" w:cs="Arial"/>
              </w:rPr>
              <w:t>carboximidamidas</w:t>
            </w:r>
            <w:r w:rsidR="00BB0DA9" w:rsidRPr="003C18B5">
              <w:rPr>
                <w:rFonts w:ascii="Arial" w:hAnsi="Arial" w:cs="Arial"/>
                <w:lang w:val="es-VE"/>
              </w:rPr>
              <w:t xml:space="preserve"> de origen quinolínicos, </w:t>
            </w:r>
            <w:r w:rsidR="00527D15" w:rsidRPr="003C18B5">
              <w:rPr>
                <w:rFonts w:ascii="Arial" w:hAnsi="Arial" w:cs="Arial"/>
                <w:lang w:val="es-VE"/>
              </w:rPr>
              <w:t xml:space="preserve">los cuales serán evaluados biológicamente </w:t>
            </w:r>
            <w:r w:rsidR="00527D15" w:rsidRPr="002062F6">
              <w:rPr>
                <w:rFonts w:ascii="Arial" w:hAnsi="Arial" w:cs="Arial"/>
                <w:i/>
                <w:lang w:val="es-VE"/>
              </w:rPr>
              <w:t>in vitro</w:t>
            </w:r>
            <w:r w:rsidR="00527D15">
              <w:rPr>
                <w:rFonts w:ascii="Arial" w:hAnsi="Arial" w:cs="Arial"/>
                <w:lang w:val="es-VE"/>
              </w:rPr>
              <w:t xml:space="preserve"> y/o </w:t>
            </w:r>
            <w:r w:rsidR="00527D15" w:rsidRPr="002062F6">
              <w:rPr>
                <w:rFonts w:ascii="Arial" w:hAnsi="Arial" w:cs="Arial"/>
                <w:i/>
                <w:lang w:val="es-VE"/>
              </w:rPr>
              <w:t>in vivo</w:t>
            </w:r>
            <w:r w:rsidR="00527D15">
              <w:rPr>
                <w:rFonts w:ascii="Arial" w:hAnsi="Arial" w:cs="Arial"/>
                <w:lang w:val="es-VE"/>
              </w:rPr>
              <w:t xml:space="preserve"> </w:t>
            </w:r>
            <w:r w:rsidR="00527D15" w:rsidRPr="003C18B5">
              <w:rPr>
                <w:rFonts w:ascii="Arial" w:hAnsi="Arial" w:cs="Arial"/>
                <w:lang w:val="es-VE"/>
              </w:rPr>
              <w:t>en investigaciones posteriores.</w:t>
            </w:r>
            <w:r w:rsidR="00527D15">
              <w:rPr>
                <w:rFonts w:ascii="Arial" w:hAnsi="Arial" w:cs="Arial"/>
                <w:lang w:val="es-VE"/>
              </w:rPr>
              <w:t xml:space="preserve"> </w:t>
            </w:r>
          </w:p>
          <w:p w:rsidR="002B569B" w:rsidRDefault="00AE76C9" w:rsidP="00ED528E">
            <w:pPr>
              <w:spacing w:before="120" w:after="120"/>
              <w:rPr>
                <w:rFonts w:ascii="Arial" w:hAnsi="Arial" w:cs="Arial"/>
              </w:rPr>
            </w:pPr>
            <w:r w:rsidRPr="00ED528E">
              <w:rPr>
                <w:rFonts w:ascii="Arial" w:hAnsi="Arial" w:cs="Arial"/>
                <w:b/>
              </w:rPr>
              <w:t>Actividad</w:t>
            </w:r>
            <w:r w:rsidR="00BB0DA9" w:rsidRPr="00ED528E">
              <w:rPr>
                <w:rFonts w:ascii="Arial" w:hAnsi="Arial" w:cs="Arial"/>
                <w:b/>
              </w:rPr>
              <w:t xml:space="preserve"> </w:t>
            </w:r>
            <w:r w:rsidR="002B569B" w:rsidRPr="00ED528E">
              <w:rPr>
                <w:rFonts w:ascii="Arial" w:hAnsi="Arial" w:cs="Arial"/>
                <w:b/>
              </w:rPr>
              <w:t>1</w:t>
            </w:r>
            <w:r w:rsidR="00BB0DA9" w:rsidRPr="00ED528E">
              <w:rPr>
                <w:rFonts w:ascii="Arial" w:hAnsi="Arial" w:cs="Arial"/>
                <w:b/>
              </w:rPr>
              <w:t>:</w:t>
            </w:r>
            <w:r w:rsidR="00BB0DA9" w:rsidRPr="003C18B5">
              <w:rPr>
                <w:rFonts w:ascii="Arial" w:hAnsi="Arial" w:cs="Arial"/>
              </w:rPr>
              <w:t xml:space="preserve"> </w:t>
            </w:r>
            <w:r w:rsidR="00D77A42" w:rsidRPr="003C18B5">
              <w:rPr>
                <w:rFonts w:ascii="Arial" w:hAnsi="Arial" w:cs="Arial"/>
              </w:rPr>
              <w:t>Una vez adquiridos todos los reactivos y materiales necesarios, se procederá a secar por métodos estándares los solventes a emplearse en las síntesis.</w:t>
            </w:r>
          </w:p>
          <w:p w:rsidR="004A6C48" w:rsidRPr="003C18B5" w:rsidRDefault="004A6C48" w:rsidP="00ED528E">
            <w:pPr>
              <w:spacing w:before="120" w:after="120"/>
              <w:rPr>
                <w:rFonts w:ascii="Arial" w:hAnsi="Arial" w:cs="Arial"/>
              </w:rPr>
            </w:pPr>
            <w:r w:rsidRPr="00ED528E">
              <w:rPr>
                <w:rFonts w:ascii="Arial" w:hAnsi="Arial" w:cs="Arial"/>
                <w:b/>
              </w:rPr>
              <w:t>Actividad 2:</w:t>
            </w:r>
            <w:r>
              <w:rPr>
                <w:rFonts w:ascii="Arial" w:hAnsi="Arial" w:cs="Arial"/>
                <w:b/>
              </w:rPr>
              <w:t xml:space="preserve"> </w:t>
            </w:r>
            <w:r w:rsidRPr="004A6C48">
              <w:rPr>
                <w:rFonts w:ascii="Arial" w:hAnsi="Arial" w:cs="Arial"/>
              </w:rPr>
              <w:t>Se ensayarán los métodos de síntesis tradicionales propuestos en la metodología.</w:t>
            </w:r>
          </w:p>
          <w:p w:rsidR="008F3B2C" w:rsidRDefault="00AE76C9" w:rsidP="00ED528E">
            <w:pPr>
              <w:spacing w:before="120" w:after="120"/>
              <w:rPr>
                <w:rFonts w:ascii="Arial" w:hAnsi="Arial" w:cs="Arial"/>
              </w:rPr>
            </w:pPr>
            <w:r w:rsidRPr="00ED528E">
              <w:rPr>
                <w:rFonts w:ascii="Arial" w:hAnsi="Arial" w:cs="Arial"/>
                <w:b/>
              </w:rPr>
              <w:t>Actividad</w:t>
            </w:r>
            <w:r w:rsidR="004A6C48">
              <w:rPr>
                <w:rFonts w:ascii="Arial" w:hAnsi="Arial" w:cs="Arial"/>
                <w:b/>
              </w:rPr>
              <w:t xml:space="preserve"> 3</w:t>
            </w:r>
            <w:r w:rsidR="00D77A42" w:rsidRPr="00ED528E">
              <w:rPr>
                <w:rFonts w:ascii="Arial" w:hAnsi="Arial" w:cs="Arial"/>
                <w:b/>
              </w:rPr>
              <w:t>:</w:t>
            </w:r>
            <w:r w:rsidR="00D77A42" w:rsidRPr="003C18B5">
              <w:rPr>
                <w:rFonts w:ascii="Arial" w:hAnsi="Arial" w:cs="Arial"/>
              </w:rPr>
              <w:t xml:space="preserve"> Se ensayarán alternativas de síntesis por métodos de Química verde.</w:t>
            </w:r>
          </w:p>
          <w:p w:rsidR="000623CC" w:rsidRPr="003C18B5" w:rsidRDefault="000623CC" w:rsidP="00ED528E">
            <w:pPr>
              <w:spacing w:before="120" w:after="120"/>
              <w:rPr>
                <w:rFonts w:ascii="Arial" w:hAnsi="Arial" w:cs="Arial"/>
              </w:rPr>
            </w:pPr>
            <w:r w:rsidRPr="00ED528E">
              <w:rPr>
                <w:rFonts w:ascii="Arial" w:hAnsi="Arial" w:cs="Arial"/>
                <w:b/>
              </w:rPr>
              <w:t>Actividad</w:t>
            </w:r>
            <w:r>
              <w:rPr>
                <w:rFonts w:ascii="Arial" w:hAnsi="Arial" w:cs="Arial"/>
                <w:b/>
              </w:rPr>
              <w:t xml:space="preserve"> 4</w:t>
            </w:r>
            <w:r w:rsidRPr="00ED528E">
              <w:rPr>
                <w:rFonts w:ascii="Arial" w:hAnsi="Arial" w:cs="Arial"/>
                <w:b/>
              </w:rPr>
              <w:t>:</w:t>
            </w:r>
            <w:r w:rsidRPr="000623CC">
              <w:rPr>
                <w:rFonts w:ascii="Arial" w:hAnsi="Arial" w:cs="Arial"/>
              </w:rPr>
              <w:t xml:space="preserve"> Redactar</w:t>
            </w:r>
            <w:r>
              <w:rPr>
                <w:rFonts w:ascii="Arial" w:hAnsi="Arial" w:cs="Arial"/>
              </w:rPr>
              <w:t xml:space="preserve"> el informe contentivo del análisis de los resultados encontrados.</w:t>
            </w:r>
          </w:p>
        </w:tc>
      </w:tr>
      <w:tr w:rsidR="002B569B" w:rsidRPr="003C18B5" w:rsidTr="005742D4">
        <w:trPr>
          <w:trHeight w:val="548"/>
        </w:trPr>
        <w:tc>
          <w:tcPr>
            <w:tcW w:w="9606" w:type="dxa"/>
          </w:tcPr>
          <w:p w:rsidR="002B569B" w:rsidRPr="003C18B5" w:rsidRDefault="002B569B" w:rsidP="00ED528E">
            <w:pPr>
              <w:spacing w:before="120" w:after="120"/>
              <w:rPr>
                <w:rFonts w:ascii="Arial" w:hAnsi="Arial" w:cs="Arial"/>
              </w:rPr>
            </w:pPr>
            <w:r w:rsidRPr="00ED528E">
              <w:rPr>
                <w:rFonts w:ascii="Arial" w:hAnsi="Arial" w:cs="Arial"/>
                <w:b/>
              </w:rPr>
              <w:t>OE2</w:t>
            </w:r>
            <w:r w:rsidR="00D77A42" w:rsidRPr="00ED528E">
              <w:rPr>
                <w:rFonts w:ascii="Arial" w:hAnsi="Arial" w:cs="Arial"/>
                <w:b/>
              </w:rPr>
              <w:t>:</w:t>
            </w:r>
            <w:r w:rsidR="00D77A42" w:rsidRPr="003C18B5">
              <w:rPr>
                <w:rFonts w:ascii="Arial" w:hAnsi="Arial" w:cs="Arial"/>
              </w:rPr>
              <w:t xml:space="preserve"> Purificar </w:t>
            </w:r>
            <w:r w:rsidR="00D77A42" w:rsidRPr="003C18B5">
              <w:rPr>
                <w:rFonts w:ascii="Arial" w:hAnsi="Arial" w:cs="Arial"/>
                <w:lang w:val="es-VE"/>
              </w:rPr>
              <w:t xml:space="preserve">los derivados sintetizados de semicarbazonas, tiosemicarbazonas y </w:t>
            </w:r>
            <w:r w:rsidR="00D77A42" w:rsidRPr="003C18B5">
              <w:rPr>
                <w:rFonts w:ascii="Arial" w:hAnsi="Arial" w:cs="Arial"/>
              </w:rPr>
              <w:t>carboximidamidas</w:t>
            </w:r>
            <w:r w:rsidR="00D77A42" w:rsidRPr="003C18B5">
              <w:rPr>
                <w:rFonts w:ascii="Arial" w:hAnsi="Arial" w:cs="Arial"/>
                <w:lang w:val="es-VE"/>
              </w:rPr>
              <w:t xml:space="preserve"> de origen quinolínicos.</w:t>
            </w:r>
          </w:p>
          <w:p w:rsidR="00AE76C9" w:rsidRPr="003C18B5" w:rsidRDefault="00AE76C9" w:rsidP="00ED528E">
            <w:pPr>
              <w:spacing w:before="120" w:after="120"/>
              <w:rPr>
                <w:rFonts w:ascii="Arial" w:hAnsi="Arial" w:cs="Arial"/>
              </w:rPr>
            </w:pPr>
            <w:r w:rsidRPr="00ED528E">
              <w:rPr>
                <w:rFonts w:ascii="Arial" w:hAnsi="Arial" w:cs="Arial"/>
                <w:b/>
              </w:rPr>
              <w:t>Actividad 1</w:t>
            </w:r>
            <w:r w:rsidR="00D77A42" w:rsidRPr="00ED528E">
              <w:rPr>
                <w:rFonts w:ascii="Arial" w:hAnsi="Arial" w:cs="Arial"/>
                <w:b/>
              </w:rPr>
              <w:t>:</w:t>
            </w:r>
            <w:r w:rsidR="00D77A42" w:rsidRPr="003C18B5">
              <w:rPr>
                <w:rFonts w:ascii="Arial" w:hAnsi="Arial" w:cs="Arial"/>
              </w:rPr>
              <w:t xml:space="preserve"> Una vez sintetizados, se procederá a purificar por métodos de recristalización o por difusión de líquidos. </w:t>
            </w:r>
          </w:p>
          <w:p w:rsidR="002B569B" w:rsidRDefault="00AE76C9" w:rsidP="00ED528E">
            <w:pPr>
              <w:spacing w:before="120" w:after="120"/>
              <w:rPr>
                <w:rFonts w:ascii="Arial" w:hAnsi="Arial" w:cs="Arial"/>
              </w:rPr>
            </w:pPr>
            <w:r w:rsidRPr="00ED528E">
              <w:rPr>
                <w:rFonts w:ascii="Arial" w:hAnsi="Arial" w:cs="Arial"/>
                <w:b/>
              </w:rPr>
              <w:t>Activi</w:t>
            </w:r>
            <w:r w:rsidR="000024AC" w:rsidRPr="00ED528E">
              <w:rPr>
                <w:rFonts w:ascii="Arial" w:hAnsi="Arial" w:cs="Arial"/>
                <w:b/>
              </w:rPr>
              <w:t>dad 2:</w:t>
            </w:r>
            <w:r w:rsidR="000024AC" w:rsidRPr="003C18B5">
              <w:rPr>
                <w:rFonts w:ascii="Arial" w:hAnsi="Arial" w:cs="Arial"/>
              </w:rPr>
              <w:t xml:space="preserve"> Se comprobará la pureza de los compuestos sintetizados, inicialmente a través de cromatografía de capa fina (CCF o TLC), usando placas de Gel de Sílice 60 con indicador fluorescente UV</w:t>
            </w:r>
            <w:r w:rsidR="000024AC" w:rsidRPr="003C18B5">
              <w:rPr>
                <w:rFonts w:ascii="Arial" w:hAnsi="Arial" w:cs="Arial"/>
                <w:vertAlign w:val="subscript"/>
              </w:rPr>
              <w:t>254</w:t>
            </w:r>
            <w:r w:rsidR="000024AC" w:rsidRPr="003C18B5">
              <w:rPr>
                <w:rFonts w:ascii="Arial" w:hAnsi="Arial" w:cs="Arial"/>
              </w:rPr>
              <w:t xml:space="preserve">, una lámpara ultravioleta </w:t>
            </w:r>
            <w:r w:rsidR="000024AC" w:rsidRPr="003C18B5">
              <w:rPr>
                <w:rFonts w:ascii="Arial" w:hAnsi="Arial" w:cs="Arial"/>
                <w:vertAlign w:val="subscript"/>
              </w:rPr>
              <w:t xml:space="preserve"> </w:t>
            </w:r>
            <w:r w:rsidR="000024AC" w:rsidRPr="003C18B5">
              <w:rPr>
                <w:rFonts w:ascii="Arial" w:hAnsi="Arial" w:cs="Arial"/>
              </w:rPr>
              <w:t>y un sistema de solvente adecuado. Y de ser posible, por análisis elemental.</w:t>
            </w:r>
          </w:p>
          <w:p w:rsidR="000623CC" w:rsidRPr="003C18B5" w:rsidRDefault="000623CC" w:rsidP="00ED528E">
            <w:pPr>
              <w:spacing w:before="120" w:after="120"/>
              <w:rPr>
                <w:rFonts w:ascii="Arial" w:hAnsi="Arial" w:cs="Arial"/>
              </w:rPr>
            </w:pPr>
            <w:r w:rsidRPr="00ED528E">
              <w:rPr>
                <w:rFonts w:ascii="Arial" w:hAnsi="Arial" w:cs="Arial"/>
                <w:b/>
              </w:rPr>
              <w:t>Actividad</w:t>
            </w:r>
            <w:r>
              <w:rPr>
                <w:rFonts w:ascii="Arial" w:hAnsi="Arial" w:cs="Arial"/>
                <w:b/>
              </w:rPr>
              <w:t xml:space="preserve"> 3</w:t>
            </w:r>
            <w:r w:rsidRPr="00ED528E">
              <w:rPr>
                <w:rFonts w:ascii="Arial" w:hAnsi="Arial" w:cs="Arial"/>
                <w:b/>
              </w:rPr>
              <w:t>:</w:t>
            </w:r>
            <w:r w:rsidRPr="000623CC">
              <w:rPr>
                <w:rFonts w:ascii="Arial" w:hAnsi="Arial" w:cs="Arial"/>
              </w:rPr>
              <w:t xml:space="preserve"> Redactar</w:t>
            </w:r>
            <w:r>
              <w:rPr>
                <w:rFonts w:ascii="Arial" w:hAnsi="Arial" w:cs="Arial"/>
              </w:rPr>
              <w:t xml:space="preserve"> el informe contentivo del análisis de los resultados encontrados.</w:t>
            </w:r>
          </w:p>
        </w:tc>
      </w:tr>
      <w:tr w:rsidR="002B569B" w:rsidRPr="003C18B5" w:rsidTr="005742D4">
        <w:trPr>
          <w:trHeight w:val="548"/>
        </w:trPr>
        <w:tc>
          <w:tcPr>
            <w:tcW w:w="9606" w:type="dxa"/>
          </w:tcPr>
          <w:p w:rsidR="002B569B" w:rsidRPr="003C18B5" w:rsidRDefault="002B569B" w:rsidP="00ED528E">
            <w:pPr>
              <w:spacing w:before="120" w:after="120"/>
              <w:rPr>
                <w:rFonts w:ascii="Arial" w:hAnsi="Arial" w:cs="Arial"/>
              </w:rPr>
            </w:pPr>
            <w:r w:rsidRPr="00ED528E">
              <w:rPr>
                <w:rFonts w:ascii="Arial" w:hAnsi="Arial" w:cs="Arial"/>
                <w:b/>
              </w:rPr>
              <w:t>OE3</w:t>
            </w:r>
            <w:r w:rsidR="00C45DDF" w:rsidRPr="00ED528E">
              <w:rPr>
                <w:rFonts w:ascii="Arial" w:hAnsi="Arial" w:cs="Arial"/>
                <w:b/>
              </w:rPr>
              <w:t>:</w:t>
            </w:r>
            <w:r w:rsidR="00C45DDF" w:rsidRPr="003C18B5">
              <w:rPr>
                <w:rFonts w:ascii="Arial" w:hAnsi="Arial" w:cs="Arial"/>
              </w:rPr>
              <w:t xml:space="preserve"> </w:t>
            </w:r>
            <w:r w:rsidR="00C45DDF" w:rsidRPr="003C18B5">
              <w:rPr>
                <w:rFonts w:ascii="Arial" w:hAnsi="Arial" w:cs="Arial"/>
                <w:lang w:val="es-VE"/>
              </w:rPr>
              <w:t xml:space="preserve">Caracterizar espectroscópicamente los derivados de semicarbazonas, tiosemicarbazonas y </w:t>
            </w:r>
            <w:r w:rsidR="00C45DDF" w:rsidRPr="003C18B5">
              <w:rPr>
                <w:rFonts w:ascii="Arial" w:hAnsi="Arial" w:cs="Arial"/>
              </w:rPr>
              <w:t>carboximidamidas</w:t>
            </w:r>
            <w:r w:rsidR="00C45DDF" w:rsidRPr="003C18B5">
              <w:rPr>
                <w:rFonts w:ascii="Arial" w:hAnsi="Arial" w:cs="Arial"/>
                <w:lang w:val="es-VE"/>
              </w:rPr>
              <w:t xml:space="preserve"> de origen quinolínicos, a través de técnicas como IR,</w:t>
            </w:r>
            <w:r w:rsidR="00B517BF" w:rsidRPr="003C18B5">
              <w:rPr>
                <w:rFonts w:ascii="Arial" w:hAnsi="Arial" w:cs="Arial"/>
                <w:lang w:val="es-VE"/>
              </w:rPr>
              <w:t xml:space="preserve"> UV-v</w:t>
            </w:r>
            <w:r w:rsidR="00C45DDF" w:rsidRPr="003C18B5">
              <w:rPr>
                <w:rFonts w:ascii="Arial" w:hAnsi="Arial" w:cs="Arial"/>
                <w:lang w:val="es-VE"/>
              </w:rPr>
              <w:t xml:space="preserve">is, </w:t>
            </w:r>
            <w:r w:rsidR="00C45DDF" w:rsidRPr="003C18B5">
              <w:rPr>
                <w:rFonts w:ascii="Arial" w:hAnsi="Arial" w:cs="Arial"/>
                <w:lang w:val="es-ES_tradnl"/>
              </w:rPr>
              <w:t xml:space="preserve">RMN </w:t>
            </w:r>
            <w:r w:rsidR="00C45DDF" w:rsidRPr="003C18B5">
              <w:rPr>
                <w:rFonts w:ascii="Arial" w:hAnsi="Arial" w:cs="Arial"/>
                <w:vertAlign w:val="superscript"/>
                <w:lang w:val="es-ES_tradnl"/>
              </w:rPr>
              <w:t>1</w:t>
            </w:r>
            <w:r w:rsidR="00C45DDF" w:rsidRPr="003C18B5">
              <w:rPr>
                <w:rFonts w:ascii="Arial" w:hAnsi="Arial" w:cs="Arial"/>
                <w:lang w:val="es-ES_tradnl"/>
              </w:rPr>
              <w:t xml:space="preserve">H, RMN </w:t>
            </w:r>
            <w:r w:rsidR="00C45DDF" w:rsidRPr="003C18B5">
              <w:rPr>
                <w:rFonts w:ascii="Arial" w:hAnsi="Arial" w:cs="Arial"/>
                <w:vertAlign w:val="superscript"/>
                <w:lang w:val="es-ES_tradnl"/>
              </w:rPr>
              <w:t>13</w:t>
            </w:r>
            <w:r w:rsidR="00C45DDF" w:rsidRPr="003C18B5">
              <w:rPr>
                <w:rFonts w:ascii="Arial" w:hAnsi="Arial" w:cs="Arial"/>
                <w:lang w:val="es-ES_tradnl"/>
              </w:rPr>
              <w:t>C; y de ser posible por análisis elemental, ESI-MS y difracción de rayos X</w:t>
            </w:r>
            <w:r w:rsidR="00C45DDF" w:rsidRPr="003C18B5">
              <w:rPr>
                <w:rFonts w:ascii="Arial" w:hAnsi="Arial" w:cs="Arial"/>
                <w:lang w:val="es-VE"/>
              </w:rPr>
              <w:t xml:space="preserve">. </w:t>
            </w:r>
          </w:p>
          <w:p w:rsidR="00AE76C9" w:rsidRPr="003C18B5" w:rsidRDefault="00AE76C9" w:rsidP="00ED528E">
            <w:pPr>
              <w:spacing w:before="120" w:after="120"/>
              <w:rPr>
                <w:rFonts w:ascii="Arial" w:hAnsi="Arial" w:cs="Arial"/>
              </w:rPr>
            </w:pPr>
            <w:r w:rsidRPr="00ED528E">
              <w:rPr>
                <w:rFonts w:ascii="Arial" w:hAnsi="Arial" w:cs="Arial"/>
                <w:b/>
              </w:rPr>
              <w:t>Actividad 1</w:t>
            </w:r>
            <w:r w:rsidR="00B517BF" w:rsidRPr="00ED528E">
              <w:rPr>
                <w:rFonts w:ascii="Arial" w:hAnsi="Arial" w:cs="Arial"/>
                <w:b/>
              </w:rPr>
              <w:t>:</w:t>
            </w:r>
            <w:r w:rsidR="00B517BF" w:rsidRPr="003C18B5">
              <w:rPr>
                <w:rFonts w:ascii="Arial" w:hAnsi="Arial" w:cs="Arial"/>
              </w:rPr>
              <w:t xml:space="preserve"> Como primer paso, se caracterizarán a través de las técnicas de IR y UV-vis.</w:t>
            </w:r>
          </w:p>
          <w:p w:rsidR="00AE76C9" w:rsidRPr="003C18B5" w:rsidRDefault="00B517BF" w:rsidP="00ED528E">
            <w:pPr>
              <w:spacing w:before="120" w:after="120"/>
              <w:rPr>
                <w:rFonts w:ascii="Arial" w:hAnsi="Arial" w:cs="Arial"/>
              </w:rPr>
            </w:pPr>
            <w:r w:rsidRPr="00ED528E">
              <w:rPr>
                <w:rFonts w:ascii="Arial" w:hAnsi="Arial" w:cs="Arial"/>
                <w:b/>
              </w:rPr>
              <w:t>Actividad 2:</w:t>
            </w:r>
            <w:r w:rsidRPr="003C18B5">
              <w:rPr>
                <w:rFonts w:ascii="Arial" w:hAnsi="Arial" w:cs="Arial"/>
              </w:rPr>
              <w:t xml:space="preserve"> Como segundo paso, se caracterizarán a través de las técnicas de </w:t>
            </w:r>
            <w:r w:rsidRPr="003C18B5">
              <w:rPr>
                <w:rFonts w:ascii="Arial" w:hAnsi="Arial" w:cs="Arial"/>
                <w:lang w:val="es-ES_tradnl"/>
              </w:rPr>
              <w:t xml:space="preserve">RMN </w:t>
            </w:r>
            <w:r w:rsidRPr="003C18B5">
              <w:rPr>
                <w:rFonts w:ascii="Arial" w:hAnsi="Arial" w:cs="Arial"/>
                <w:vertAlign w:val="superscript"/>
                <w:lang w:val="es-ES_tradnl"/>
              </w:rPr>
              <w:t>1</w:t>
            </w:r>
            <w:r w:rsidRPr="003C18B5">
              <w:rPr>
                <w:rFonts w:ascii="Arial" w:hAnsi="Arial" w:cs="Arial"/>
                <w:lang w:val="es-ES_tradnl"/>
              </w:rPr>
              <w:t xml:space="preserve">H, RMN </w:t>
            </w:r>
            <w:r w:rsidRPr="003C18B5">
              <w:rPr>
                <w:rFonts w:ascii="Arial" w:hAnsi="Arial" w:cs="Arial"/>
                <w:vertAlign w:val="superscript"/>
                <w:lang w:val="es-ES_tradnl"/>
              </w:rPr>
              <w:t>13</w:t>
            </w:r>
            <w:r w:rsidRPr="003C18B5">
              <w:rPr>
                <w:rFonts w:ascii="Arial" w:hAnsi="Arial" w:cs="Arial"/>
                <w:lang w:val="es-ES_tradnl"/>
              </w:rPr>
              <w:t>C.</w:t>
            </w:r>
          </w:p>
          <w:p w:rsidR="00AE76C9" w:rsidRPr="003C18B5" w:rsidRDefault="00B517BF" w:rsidP="00ED528E">
            <w:pPr>
              <w:spacing w:before="120" w:after="120"/>
              <w:rPr>
                <w:rFonts w:ascii="Arial" w:hAnsi="Arial" w:cs="Arial"/>
              </w:rPr>
            </w:pPr>
            <w:r w:rsidRPr="00ED528E">
              <w:rPr>
                <w:rFonts w:ascii="Arial" w:hAnsi="Arial" w:cs="Arial"/>
                <w:b/>
              </w:rPr>
              <w:t>Actividad 3:</w:t>
            </w:r>
            <w:r w:rsidRPr="003C18B5">
              <w:rPr>
                <w:rFonts w:ascii="Arial" w:hAnsi="Arial" w:cs="Arial"/>
              </w:rPr>
              <w:t xml:space="preserve"> Como tercer paso, se caracterizarán a través de las técnicas de análisis elemental.</w:t>
            </w:r>
          </w:p>
          <w:p w:rsidR="00CF64C5" w:rsidRDefault="00B517BF" w:rsidP="00ED528E">
            <w:pPr>
              <w:spacing w:before="120" w:after="120"/>
              <w:rPr>
                <w:rFonts w:ascii="Arial" w:hAnsi="Arial" w:cs="Arial"/>
              </w:rPr>
            </w:pPr>
            <w:r w:rsidRPr="00ED528E">
              <w:rPr>
                <w:rFonts w:ascii="Arial" w:hAnsi="Arial" w:cs="Arial"/>
                <w:b/>
              </w:rPr>
              <w:t>Actividad 4:</w:t>
            </w:r>
            <w:r w:rsidRPr="003C18B5">
              <w:rPr>
                <w:rFonts w:ascii="Arial" w:hAnsi="Arial" w:cs="Arial"/>
              </w:rPr>
              <w:t xml:space="preserve"> Como cuarto paso</w:t>
            </w:r>
            <w:r w:rsidR="00251EE6">
              <w:rPr>
                <w:rFonts w:ascii="Arial" w:hAnsi="Arial" w:cs="Arial"/>
              </w:rPr>
              <w:t xml:space="preserve"> </w:t>
            </w:r>
            <w:r w:rsidRPr="003C18B5">
              <w:rPr>
                <w:rFonts w:ascii="Arial" w:hAnsi="Arial" w:cs="Arial"/>
              </w:rPr>
              <w:t>y de ser posible, se caracterizarán a través de las técnicas de ESI-MS y/o difracción de rayos X.</w:t>
            </w:r>
          </w:p>
          <w:p w:rsidR="000623CC" w:rsidRPr="003C18B5" w:rsidRDefault="000623CC" w:rsidP="00ED528E">
            <w:pPr>
              <w:spacing w:before="120" w:after="120"/>
              <w:rPr>
                <w:rFonts w:ascii="Arial" w:hAnsi="Arial" w:cs="Arial"/>
              </w:rPr>
            </w:pPr>
            <w:r w:rsidRPr="00ED528E">
              <w:rPr>
                <w:rFonts w:ascii="Arial" w:hAnsi="Arial" w:cs="Arial"/>
                <w:b/>
              </w:rPr>
              <w:t>Actividad</w:t>
            </w:r>
            <w:r>
              <w:rPr>
                <w:rFonts w:ascii="Arial" w:hAnsi="Arial" w:cs="Arial"/>
                <w:b/>
              </w:rPr>
              <w:t xml:space="preserve"> 5</w:t>
            </w:r>
            <w:r w:rsidRPr="00ED528E">
              <w:rPr>
                <w:rFonts w:ascii="Arial" w:hAnsi="Arial" w:cs="Arial"/>
                <w:b/>
              </w:rPr>
              <w:t>:</w:t>
            </w:r>
            <w:r w:rsidRPr="000623CC">
              <w:rPr>
                <w:rFonts w:ascii="Arial" w:hAnsi="Arial" w:cs="Arial"/>
              </w:rPr>
              <w:t xml:space="preserve"> Redactar</w:t>
            </w:r>
            <w:r>
              <w:rPr>
                <w:rFonts w:ascii="Arial" w:hAnsi="Arial" w:cs="Arial"/>
              </w:rPr>
              <w:t xml:space="preserve"> el informe contentivo del análisis de los resultados encontrados.</w:t>
            </w:r>
          </w:p>
        </w:tc>
      </w:tr>
      <w:tr w:rsidR="002B569B" w:rsidRPr="003C18B5" w:rsidTr="005742D4">
        <w:trPr>
          <w:trHeight w:val="548"/>
        </w:trPr>
        <w:tc>
          <w:tcPr>
            <w:tcW w:w="9606" w:type="dxa"/>
          </w:tcPr>
          <w:p w:rsidR="002B569B" w:rsidRPr="003C18B5" w:rsidRDefault="002B569B" w:rsidP="00ED528E">
            <w:pPr>
              <w:spacing w:before="120" w:after="120"/>
              <w:rPr>
                <w:rFonts w:ascii="Arial" w:hAnsi="Arial" w:cs="Arial"/>
              </w:rPr>
            </w:pPr>
            <w:r w:rsidRPr="002757AD">
              <w:rPr>
                <w:rFonts w:ascii="Arial" w:hAnsi="Arial" w:cs="Arial"/>
                <w:b/>
              </w:rPr>
              <w:t>OE4</w:t>
            </w:r>
            <w:r w:rsidR="00C47631" w:rsidRPr="002757AD">
              <w:rPr>
                <w:rFonts w:ascii="Arial" w:hAnsi="Arial" w:cs="Arial"/>
                <w:b/>
              </w:rPr>
              <w:t>:</w:t>
            </w:r>
            <w:r w:rsidR="00C47631" w:rsidRPr="003C18B5">
              <w:rPr>
                <w:rFonts w:ascii="Arial" w:hAnsi="Arial" w:cs="Arial"/>
              </w:rPr>
              <w:t xml:space="preserve"> Establecer de manera preliminar, </w:t>
            </w:r>
            <w:r w:rsidR="00442807" w:rsidRPr="003C18B5">
              <w:rPr>
                <w:rFonts w:ascii="Arial" w:hAnsi="Arial" w:cs="Arial"/>
              </w:rPr>
              <w:t xml:space="preserve">a través de estudios </w:t>
            </w:r>
            <w:r w:rsidR="00442807">
              <w:rPr>
                <w:rFonts w:ascii="Arial" w:hAnsi="Arial" w:cs="Arial"/>
              </w:rPr>
              <w:t xml:space="preserve">computacionales </w:t>
            </w:r>
            <w:r w:rsidR="00442807" w:rsidRPr="003C18B5">
              <w:rPr>
                <w:rFonts w:ascii="Arial" w:hAnsi="Arial" w:cs="Arial"/>
              </w:rPr>
              <w:t xml:space="preserve">de </w:t>
            </w:r>
            <w:r w:rsidR="00442807">
              <w:rPr>
                <w:rFonts w:ascii="Arial" w:hAnsi="Arial" w:cs="Arial"/>
              </w:rPr>
              <w:t>docking</w:t>
            </w:r>
            <w:r w:rsidR="00442807" w:rsidRPr="003C18B5">
              <w:rPr>
                <w:rFonts w:ascii="Arial" w:hAnsi="Arial" w:cs="Arial"/>
              </w:rPr>
              <w:t xml:space="preserve"> molecular</w:t>
            </w:r>
            <w:r w:rsidR="00C47631" w:rsidRPr="003C18B5">
              <w:rPr>
                <w:rFonts w:ascii="Arial" w:hAnsi="Arial" w:cs="Arial"/>
              </w:rPr>
              <w:t xml:space="preserve">, la relación entre la estructura química de los compuestos sintetizados y su potencial capacidad de inhibir la formación de hemozoína in vitro. </w:t>
            </w:r>
          </w:p>
          <w:p w:rsidR="00AE76C9" w:rsidRPr="003C18B5" w:rsidRDefault="00AE76C9" w:rsidP="00ED528E">
            <w:pPr>
              <w:spacing w:before="120" w:after="120"/>
              <w:rPr>
                <w:rFonts w:ascii="Arial" w:hAnsi="Arial" w:cs="Arial"/>
              </w:rPr>
            </w:pPr>
            <w:r w:rsidRPr="002757AD">
              <w:rPr>
                <w:rFonts w:ascii="Arial" w:hAnsi="Arial" w:cs="Arial"/>
                <w:b/>
              </w:rPr>
              <w:t>Actividad 1</w:t>
            </w:r>
            <w:r w:rsidR="00C47631" w:rsidRPr="002757AD">
              <w:rPr>
                <w:rFonts w:ascii="Arial" w:hAnsi="Arial" w:cs="Arial"/>
                <w:b/>
              </w:rPr>
              <w:t>:</w:t>
            </w:r>
            <w:r w:rsidR="00C47631" w:rsidRPr="003C18B5">
              <w:rPr>
                <w:rFonts w:ascii="Arial" w:hAnsi="Arial" w:cs="Arial"/>
              </w:rPr>
              <w:t xml:space="preserve"> Descargar e instalar el software libre ArgusLab 4.0.1</w:t>
            </w:r>
            <w:r w:rsidR="00292EA7" w:rsidRPr="003C18B5">
              <w:rPr>
                <w:rFonts w:ascii="Arial" w:hAnsi="Arial" w:cs="Arial"/>
              </w:rPr>
              <w:t xml:space="preserve"> en un computador de uso personal.</w:t>
            </w:r>
          </w:p>
          <w:p w:rsidR="00AE76C9" w:rsidRPr="003C18B5" w:rsidRDefault="00292EA7" w:rsidP="00ED528E">
            <w:pPr>
              <w:spacing w:before="120" w:after="120"/>
              <w:rPr>
                <w:rFonts w:ascii="Arial" w:hAnsi="Arial" w:cs="Arial"/>
              </w:rPr>
            </w:pPr>
            <w:r w:rsidRPr="002757AD">
              <w:rPr>
                <w:rFonts w:ascii="Arial" w:hAnsi="Arial" w:cs="Arial"/>
                <w:b/>
              </w:rPr>
              <w:t>Actividad 2:</w:t>
            </w:r>
            <w:r w:rsidRPr="003C18B5">
              <w:rPr>
                <w:rFonts w:ascii="Arial" w:hAnsi="Arial" w:cs="Arial"/>
              </w:rPr>
              <w:t xml:space="preserve"> Entrenar y adquirir habilidades en el uso adecuado de las distintas funcionalidades del software.</w:t>
            </w:r>
          </w:p>
          <w:p w:rsidR="002B569B" w:rsidRDefault="00292EA7" w:rsidP="00ED528E">
            <w:pPr>
              <w:spacing w:before="120" w:after="120"/>
              <w:rPr>
                <w:rFonts w:ascii="Arial" w:hAnsi="Arial" w:cs="Arial"/>
              </w:rPr>
            </w:pPr>
            <w:r w:rsidRPr="002757AD">
              <w:rPr>
                <w:rFonts w:ascii="Arial" w:hAnsi="Arial" w:cs="Arial"/>
                <w:b/>
              </w:rPr>
              <w:t>Actividad 3:</w:t>
            </w:r>
            <w:r w:rsidRPr="003C18B5">
              <w:rPr>
                <w:rFonts w:ascii="Arial" w:hAnsi="Arial" w:cs="Arial"/>
              </w:rPr>
              <w:t xml:space="preserve"> Construir los modelos tridimensionales de las moléculas, optimizarlas y proceder con el docking molecular.</w:t>
            </w:r>
          </w:p>
          <w:p w:rsidR="000623CC" w:rsidRPr="003C18B5" w:rsidRDefault="000623CC" w:rsidP="00ED528E">
            <w:pPr>
              <w:spacing w:before="120" w:after="120"/>
              <w:rPr>
                <w:rFonts w:ascii="Arial" w:hAnsi="Arial" w:cs="Arial"/>
              </w:rPr>
            </w:pPr>
            <w:r w:rsidRPr="00ED528E">
              <w:rPr>
                <w:rFonts w:ascii="Arial" w:hAnsi="Arial" w:cs="Arial"/>
                <w:b/>
              </w:rPr>
              <w:lastRenderedPageBreak/>
              <w:t>Actividad</w:t>
            </w:r>
            <w:r>
              <w:rPr>
                <w:rFonts w:ascii="Arial" w:hAnsi="Arial" w:cs="Arial"/>
                <w:b/>
              </w:rPr>
              <w:t xml:space="preserve"> 4</w:t>
            </w:r>
            <w:r w:rsidRPr="00ED528E">
              <w:rPr>
                <w:rFonts w:ascii="Arial" w:hAnsi="Arial" w:cs="Arial"/>
                <w:b/>
              </w:rPr>
              <w:t>:</w:t>
            </w:r>
            <w:r w:rsidRPr="000623CC">
              <w:rPr>
                <w:rFonts w:ascii="Arial" w:hAnsi="Arial" w:cs="Arial"/>
              </w:rPr>
              <w:t xml:space="preserve"> Redactar</w:t>
            </w:r>
            <w:r>
              <w:rPr>
                <w:rFonts w:ascii="Arial" w:hAnsi="Arial" w:cs="Arial"/>
              </w:rPr>
              <w:t xml:space="preserve"> el informe contentivo del análisis de los resultados encontrados. </w:t>
            </w:r>
          </w:p>
        </w:tc>
      </w:tr>
    </w:tbl>
    <w:p w:rsidR="00937AE4" w:rsidRPr="003C18B5" w:rsidRDefault="00937AE4" w:rsidP="00F635FC">
      <w:pPr>
        <w:rPr>
          <w:rFonts w:ascii="Arial" w:hAnsi="Arial" w:cs="Arial"/>
          <w:b/>
        </w:rPr>
      </w:pPr>
    </w:p>
    <w:tbl>
      <w:tblPr>
        <w:tblStyle w:val="Tablaconcuadrcula"/>
        <w:tblW w:w="9606" w:type="dxa"/>
        <w:tblLayout w:type="fixed"/>
        <w:tblLook w:val="04A0"/>
      </w:tblPr>
      <w:tblGrid>
        <w:gridCol w:w="9606"/>
      </w:tblGrid>
      <w:tr w:rsidR="008F3B2C" w:rsidRPr="003C18B5" w:rsidTr="002048FF">
        <w:trPr>
          <w:trHeight w:val="261"/>
        </w:trPr>
        <w:tc>
          <w:tcPr>
            <w:tcW w:w="9606" w:type="dxa"/>
            <w:shd w:val="clear" w:color="auto" w:fill="9CC2E5" w:themeFill="accent1" w:themeFillTint="99"/>
            <w:vAlign w:val="bottom"/>
          </w:tcPr>
          <w:p w:rsidR="008F3B2C" w:rsidRPr="003C18B5" w:rsidRDefault="00AD32A9" w:rsidP="005742D4">
            <w:pPr>
              <w:spacing w:after="0"/>
              <w:rPr>
                <w:rFonts w:ascii="Arial" w:hAnsi="Arial" w:cs="Arial"/>
              </w:rPr>
            </w:pPr>
            <w:r w:rsidRPr="003C18B5">
              <w:rPr>
                <w:rFonts w:ascii="Arial" w:hAnsi="Arial" w:cs="Arial"/>
                <w:b/>
              </w:rPr>
              <w:br w:type="page"/>
            </w:r>
            <w:r w:rsidR="008F3B2C" w:rsidRPr="003C18B5">
              <w:rPr>
                <w:rFonts w:ascii="Arial" w:hAnsi="Arial" w:cs="Arial"/>
              </w:rPr>
              <w:t xml:space="preserve">10.5.- Estandarización  </w:t>
            </w:r>
          </w:p>
          <w:p w:rsidR="005742D4" w:rsidRPr="003C18B5" w:rsidRDefault="005742D4" w:rsidP="00B904AA">
            <w:pPr>
              <w:spacing w:after="0"/>
              <w:rPr>
                <w:rFonts w:ascii="Arial" w:hAnsi="Arial" w:cs="Arial"/>
              </w:rPr>
            </w:pPr>
            <w:r w:rsidRPr="003C18B5">
              <w:rPr>
                <w:rFonts w:ascii="Arial" w:hAnsi="Arial" w:cs="Arial"/>
                <w:i/>
              </w:rPr>
              <w:t xml:space="preserve">(Solo si amerita: describa cómo los investigadores asegurarán que </w:t>
            </w:r>
            <w:r w:rsidR="00B904AA" w:rsidRPr="003C18B5">
              <w:rPr>
                <w:rFonts w:ascii="Arial" w:hAnsi="Arial" w:cs="Arial"/>
                <w:i/>
              </w:rPr>
              <w:t>las mediciones sean precisa</w:t>
            </w:r>
            <w:r w:rsidR="00B12995" w:rsidRPr="003C18B5">
              <w:rPr>
                <w:rFonts w:ascii="Arial" w:hAnsi="Arial" w:cs="Arial"/>
                <w:i/>
              </w:rPr>
              <w:t>s</w:t>
            </w:r>
            <w:r w:rsidR="00B904AA" w:rsidRPr="003C18B5">
              <w:rPr>
                <w:rFonts w:ascii="Arial" w:hAnsi="Arial" w:cs="Arial"/>
                <w:i/>
              </w:rPr>
              <w:t xml:space="preserve"> y exactas)</w:t>
            </w:r>
          </w:p>
        </w:tc>
      </w:tr>
      <w:tr w:rsidR="008F3B2C" w:rsidRPr="003C18B5" w:rsidTr="002757AD">
        <w:trPr>
          <w:trHeight w:val="548"/>
        </w:trPr>
        <w:tc>
          <w:tcPr>
            <w:tcW w:w="9606" w:type="dxa"/>
            <w:vAlign w:val="center"/>
          </w:tcPr>
          <w:p w:rsidR="008F3B2C" w:rsidRPr="003C18B5" w:rsidRDefault="00413438" w:rsidP="00413438">
            <w:pPr>
              <w:spacing w:before="120" w:after="120"/>
              <w:rPr>
                <w:rFonts w:ascii="Arial" w:hAnsi="Arial" w:cs="Arial"/>
              </w:rPr>
            </w:pPr>
            <w:r>
              <w:rPr>
                <w:rFonts w:ascii="Arial" w:hAnsi="Arial" w:cs="Arial"/>
              </w:rPr>
              <w:t>Todos los equipos de análisis físicos, químicos y espectroscópicos deberán estar calibrados, según corresponda. En aquellos casos donde se amerite, se realizarán un mínimo de tres determinaciones analíticas.</w:t>
            </w:r>
          </w:p>
        </w:tc>
      </w:tr>
    </w:tbl>
    <w:p w:rsidR="008F3B2C" w:rsidRPr="003C18B5" w:rsidRDefault="008F3B2C" w:rsidP="00F635FC">
      <w:pPr>
        <w:rPr>
          <w:rFonts w:ascii="Arial" w:hAnsi="Arial" w:cs="Arial"/>
          <w:b/>
        </w:rPr>
      </w:pPr>
    </w:p>
    <w:tbl>
      <w:tblPr>
        <w:tblStyle w:val="Tablaconcuadrcula"/>
        <w:tblW w:w="9606" w:type="dxa"/>
        <w:tblLayout w:type="fixed"/>
        <w:tblLook w:val="04A0"/>
      </w:tblPr>
      <w:tblGrid>
        <w:gridCol w:w="9606"/>
      </w:tblGrid>
      <w:tr w:rsidR="008F3B2C" w:rsidRPr="003C18B5" w:rsidTr="002048FF">
        <w:trPr>
          <w:trHeight w:val="261"/>
        </w:trPr>
        <w:tc>
          <w:tcPr>
            <w:tcW w:w="9606" w:type="dxa"/>
            <w:shd w:val="clear" w:color="auto" w:fill="9CC2E5" w:themeFill="accent1" w:themeFillTint="99"/>
            <w:vAlign w:val="bottom"/>
          </w:tcPr>
          <w:p w:rsidR="008F3B2C" w:rsidRPr="003C18B5" w:rsidRDefault="008F3B2C" w:rsidP="008F3B2C">
            <w:pPr>
              <w:spacing w:after="0"/>
              <w:rPr>
                <w:rFonts w:ascii="Arial" w:hAnsi="Arial" w:cs="Arial"/>
              </w:rPr>
            </w:pPr>
            <w:r w:rsidRPr="003C18B5">
              <w:rPr>
                <w:rFonts w:ascii="Arial" w:hAnsi="Arial" w:cs="Arial"/>
              </w:rPr>
              <w:t>10.6.- Manejo de Datos</w:t>
            </w:r>
          </w:p>
          <w:p w:rsidR="00B904AA" w:rsidRPr="003C18B5" w:rsidRDefault="00B12995" w:rsidP="00B12995">
            <w:pPr>
              <w:spacing w:after="0"/>
              <w:rPr>
                <w:rFonts w:ascii="Arial" w:hAnsi="Arial" w:cs="Arial"/>
              </w:rPr>
            </w:pPr>
            <w:r w:rsidRPr="003C18B5">
              <w:rPr>
                <w:rFonts w:ascii="Arial" w:hAnsi="Arial" w:cs="Arial"/>
              </w:rPr>
              <w:t>(</w:t>
            </w:r>
            <w:r w:rsidRPr="003C18B5">
              <w:rPr>
                <w:rFonts w:ascii="Arial" w:hAnsi="Arial" w:cs="Arial"/>
                <w:i/>
              </w:rPr>
              <w:t>Solo si aplica</w:t>
            </w:r>
            <w:r w:rsidRPr="003C18B5">
              <w:rPr>
                <w:rFonts w:ascii="Arial" w:hAnsi="Arial" w:cs="Arial"/>
              </w:rPr>
              <w:t xml:space="preserve">: </w:t>
            </w:r>
            <w:r w:rsidR="00B904AA" w:rsidRPr="003C18B5">
              <w:rPr>
                <w:rFonts w:ascii="Arial" w:hAnsi="Arial" w:cs="Arial"/>
                <w:i/>
              </w:rPr>
              <w:t xml:space="preserve">Describa dónde se </w:t>
            </w:r>
            <w:r w:rsidR="00FC581D" w:rsidRPr="003C18B5">
              <w:rPr>
                <w:rFonts w:ascii="Arial" w:hAnsi="Arial" w:cs="Arial"/>
                <w:i/>
              </w:rPr>
              <w:t>colectarán</w:t>
            </w:r>
            <w:r w:rsidR="00B904AA" w:rsidRPr="003C18B5">
              <w:rPr>
                <w:rFonts w:ascii="Arial" w:hAnsi="Arial" w:cs="Arial"/>
                <w:i/>
              </w:rPr>
              <w:t xml:space="preserve"> los datos física y electrónicamente. Mencionar software)</w:t>
            </w:r>
          </w:p>
        </w:tc>
      </w:tr>
      <w:tr w:rsidR="008F3B2C" w:rsidRPr="003C18B5" w:rsidTr="00E6170F">
        <w:trPr>
          <w:trHeight w:val="548"/>
        </w:trPr>
        <w:tc>
          <w:tcPr>
            <w:tcW w:w="9606" w:type="dxa"/>
            <w:vAlign w:val="center"/>
          </w:tcPr>
          <w:p w:rsidR="008F3B2C" w:rsidRPr="003C18B5" w:rsidRDefault="00652A56" w:rsidP="00652A56">
            <w:pPr>
              <w:spacing w:before="120" w:after="120"/>
              <w:rPr>
                <w:rFonts w:ascii="Arial" w:hAnsi="Arial" w:cs="Arial"/>
              </w:rPr>
            </w:pPr>
            <w:r>
              <w:rPr>
                <w:rFonts w:ascii="Arial" w:hAnsi="Arial" w:cs="Arial"/>
              </w:rPr>
              <w:t>Los datos serán progresivamente registrados en un cuaderno de laboratorio. También, aquellos datos que lo ameriten se registrarán</w:t>
            </w:r>
            <w:r w:rsidR="00FB2D90">
              <w:rPr>
                <w:rFonts w:ascii="Arial" w:hAnsi="Arial" w:cs="Arial"/>
              </w:rPr>
              <w:t xml:space="preserve"> en</w:t>
            </w:r>
            <w:r>
              <w:rPr>
                <w:rFonts w:ascii="Arial" w:hAnsi="Arial" w:cs="Arial"/>
              </w:rPr>
              <w:t xml:space="preserve"> Excel.</w:t>
            </w:r>
            <w:r w:rsidR="00143301">
              <w:rPr>
                <w:rFonts w:ascii="Arial" w:hAnsi="Arial" w:cs="Arial"/>
              </w:rPr>
              <w:t xml:space="preserve"> Y en particular, los referidos al modelado molecular se almacenarán en el software ArgusLab 4.0.1</w:t>
            </w:r>
          </w:p>
        </w:tc>
      </w:tr>
    </w:tbl>
    <w:p w:rsidR="008F3B2C" w:rsidRPr="003C18B5" w:rsidRDefault="008F3B2C" w:rsidP="00F635FC">
      <w:pPr>
        <w:rPr>
          <w:rFonts w:ascii="Arial" w:hAnsi="Arial" w:cs="Arial"/>
          <w:b/>
        </w:rPr>
      </w:pPr>
    </w:p>
    <w:tbl>
      <w:tblPr>
        <w:tblStyle w:val="Tablaconcuadrcula"/>
        <w:tblW w:w="9606" w:type="dxa"/>
        <w:tblLayout w:type="fixed"/>
        <w:tblLook w:val="04A0"/>
      </w:tblPr>
      <w:tblGrid>
        <w:gridCol w:w="9606"/>
      </w:tblGrid>
      <w:tr w:rsidR="008F3B2C" w:rsidRPr="003C18B5" w:rsidTr="002048FF">
        <w:trPr>
          <w:trHeight w:val="261"/>
        </w:trPr>
        <w:tc>
          <w:tcPr>
            <w:tcW w:w="9606" w:type="dxa"/>
            <w:shd w:val="clear" w:color="auto" w:fill="9CC2E5" w:themeFill="accent1" w:themeFillTint="99"/>
            <w:vAlign w:val="bottom"/>
          </w:tcPr>
          <w:p w:rsidR="008F3B2C" w:rsidRPr="003C18B5" w:rsidRDefault="008F3B2C" w:rsidP="008F3B2C">
            <w:pPr>
              <w:spacing w:after="0"/>
              <w:rPr>
                <w:rFonts w:ascii="Arial" w:hAnsi="Arial" w:cs="Arial"/>
              </w:rPr>
            </w:pPr>
            <w:r w:rsidRPr="003C18B5">
              <w:rPr>
                <w:rFonts w:ascii="Arial" w:hAnsi="Arial" w:cs="Arial"/>
              </w:rPr>
              <w:t xml:space="preserve">10.7.- Análisis </w:t>
            </w:r>
            <w:r w:rsidR="00AE76C9" w:rsidRPr="003C18B5">
              <w:rPr>
                <w:rFonts w:ascii="Arial" w:hAnsi="Arial" w:cs="Arial"/>
              </w:rPr>
              <w:t>de Datos</w:t>
            </w:r>
          </w:p>
          <w:p w:rsidR="00B904AA" w:rsidRPr="003C18B5" w:rsidRDefault="00B904AA" w:rsidP="00B904AA">
            <w:pPr>
              <w:spacing w:after="0"/>
              <w:rPr>
                <w:rFonts w:ascii="Arial" w:hAnsi="Arial" w:cs="Arial"/>
              </w:rPr>
            </w:pPr>
            <w:r w:rsidRPr="003C18B5">
              <w:rPr>
                <w:rFonts w:ascii="Arial" w:hAnsi="Arial" w:cs="Arial"/>
              </w:rPr>
              <w:t>(</w:t>
            </w:r>
            <w:r w:rsidRPr="003C18B5">
              <w:rPr>
                <w:rFonts w:ascii="Arial" w:hAnsi="Arial" w:cs="Arial"/>
                <w:i/>
              </w:rPr>
              <w:t>Describa detalladamente todos los análisis que realizará con los datos que obtenga en su investigación, esto sirve para preparar los resultados)</w:t>
            </w:r>
          </w:p>
        </w:tc>
      </w:tr>
      <w:tr w:rsidR="008F3B2C" w:rsidRPr="003C18B5" w:rsidTr="005742D4">
        <w:trPr>
          <w:trHeight w:val="548"/>
        </w:trPr>
        <w:tc>
          <w:tcPr>
            <w:tcW w:w="9606" w:type="dxa"/>
          </w:tcPr>
          <w:p w:rsidR="008F3B2C" w:rsidRPr="003C18B5" w:rsidRDefault="00A52A86" w:rsidP="00FC60C7">
            <w:pPr>
              <w:spacing w:before="120" w:after="120"/>
              <w:rPr>
                <w:rFonts w:ascii="Arial" w:hAnsi="Arial" w:cs="Arial"/>
              </w:rPr>
            </w:pPr>
            <w:r w:rsidRPr="003C18B5">
              <w:rPr>
                <w:rFonts w:ascii="Arial" w:hAnsi="Arial" w:cs="Arial"/>
              </w:rPr>
              <w:t xml:space="preserve">Los análisis a realizar serán </w:t>
            </w:r>
            <w:r w:rsidR="00FC60C7">
              <w:rPr>
                <w:rFonts w:ascii="Arial" w:hAnsi="Arial" w:cs="Arial"/>
              </w:rPr>
              <w:t xml:space="preserve">a partir de datos fisicoquímicos, </w:t>
            </w:r>
            <w:r w:rsidRPr="003C18B5">
              <w:rPr>
                <w:rFonts w:ascii="Arial" w:hAnsi="Arial" w:cs="Arial"/>
              </w:rPr>
              <w:t>espectroscópico</w:t>
            </w:r>
            <w:r w:rsidR="00FC60C7">
              <w:rPr>
                <w:rFonts w:ascii="Arial" w:hAnsi="Arial" w:cs="Arial"/>
              </w:rPr>
              <w:t>s y computacionales</w:t>
            </w:r>
            <w:r w:rsidRPr="003C18B5">
              <w:rPr>
                <w:rFonts w:ascii="Arial" w:hAnsi="Arial" w:cs="Arial"/>
              </w:rPr>
              <w:t>.</w:t>
            </w:r>
            <w:r w:rsidR="00FC60C7">
              <w:rPr>
                <w:rFonts w:ascii="Arial" w:hAnsi="Arial" w:cs="Arial"/>
              </w:rPr>
              <w:t xml:space="preserve"> Los dos primeros tipos de datos, permitirá confirmar la obtención de los compuestos sintetizados, su pureza y los rendimientos de cada reacción; permitiendo evaluar la eficiencia de los métodos de síntesis</w:t>
            </w:r>
            <w:r w:rsidR="00061459">
              <w:rPr>
                <w:rFonts w:ascii="Arial" w:hAnsi="Arial" w:cs="Arial"/>
              </w:rPr>
              <w:t xml:space="preserve"> química</w:t>
            </w:r>
            <w:r w:rsidR="00FC60C7">
              <w:rPr>
                <w:rFonts w:ascii="Arial" w:hAnsi="Arial" w:cs="Arial"/>
              </w:rPr>
              <w:t xml:space="preserve"> empleados. El tercer tipo de dato</w:t>
            </w:r>
            <w:r w:rsidR="00061459">
              <w:rPr>
                <w:rFonts w:ascii="Arial" w:hAnsi="Arial" w:cs="Arial"/>
              </w:rPr>
              <w:t>s</w:t>
            </w:r>
            <w:r w:rsidR="00FC60C7">
              <w:rPr>
                <w:rFonts w:ascii="Arial" w:hAnsi="Arial" w:cs="Arial"/>
              </w:rPr>
              <w:t>, referido a los estudios computacionales de docking molecular, permitirá evaluar de manera preliminar la capacidad bioactiva de los compuestos.</w:t>
            </w:r>
          </w:p>
        </w:tc>
      </w:tr>
    </w:tbl>
    <w:p w:rsidR="008F3B2C" w:rsidRPr="003C18B5" w:rsidRDefault="008F3B2C" w:rsidP="00F635FC">
      <w:pPr>
        <w:rPr>
          <w:rFonts w:ascii="Arial" w:hAnsi="Arial" w:cs="Arial"/>
          <w:b/>
        </w:rPr>
      </w:pPr>
    </w:p>
    <w:tbl>
      <w:tblPr>
        <w:tblStyle w:val="Tablaconcuadrcula"/>
        <w:tblW w:w="9606" w:type="dxa"/>
        <w:tblLayout w:type="fixed"/>
        <w:tblLook w:val="04A0"/>
      </w:tblPr>
      <w:tblGrid>
        <w:gridCol w:w="9606"/>
      </w:tblGrid>
      <w:tr w:rsidR="008F3B2C" w:rsidRPr="003C18B5" w:rsidTr="002048FF">
        <w:trPr>
          <w:trHeight w:val="261"/>
        </w:trPr>
        <w:tc>
          <w:tcPr>
            <w:tcW w:w="9606" w:type="dxa"/>
            <w:shd w:val="clear" w:color="auto" w:fill="9CC2E5" w:themeFill="accent1" w:themeFillTint="99"/>
            <w:vAlign w:val="bottom"/>
          </w:tcPr>
          <w:p w:rsidR="008F3B2C" w:rsidRPr="003C18B5" w:rsidRDefault="008F3B2C" w:rsidP="008F3B2C">
            <w:pPr>
              <w:spacing w:after="0"/>
              <w:rPr>
                <w:rFonts w:ascii="Arial" w:hAnsi="Arial" w:cs="Arial"/>
              </w:rPr>
            </w:pPr>
            <w:r w:rsidRPr="003C18B5">
              <w:rPr>
                <w:rFonts w:ascii="Arial" w:hAnsi="Arial" w:cs="Arial"/>
              </w:rPr>
              <w:t xml:space="preserve">10.8.- Consideraciones Éticas </w:t>
            </w:r>
            <w:r w:rsidR="001806E8" w:rsidRPr="003C18B5">
              <w:rPr>
                <w:rFonts w:ascii="Arial" w:hAnsi="Arial" w:cs="Arial"/>
              </w:rPr>
              <w:t xml:space="preserve">y Legales </w:t>
            </w:r>
          </w:p>
          <w:p w:rsidR="00B904AA" w:rsidRPr="003C18B5" w:rsidRDefault="00B904AA" w:rsidP="00C830FD">
            <w:pPr>
              <w:rPr>
                <w:rFonts w:ascii="Arial" w:hAnsi="Arial" w:cs="Arial"/>
                <w:i/>
              </w:rPr>
            </w:pPr>
            <w:r w:rsidRPr="003C18B5">
              <w:rPr>
                <w:rFonts w:ascii="Arial" w:hAnsi="Arial" w:cs="Arial"/>
                <w:i/>
              </w:rPr>
              <w:t>(S</w:t>
            </w:r>
            <w:r w:rsidR="00B12995" w:rsidRPr="003C18B5">
              <w:rPr>
                <w:rFonts w:ascii="Arial" w:hAnsi="Arial" w:cs="Arial"/>
                <w:i/>
              </w:rPr>
              <w:t>olo si aplica:</w:t>
            </w:r>
            <w:r w:rsidR="00C830FD" w:rsidRPr="003C18B5">
              <w:rPr>
                <w:rFonts w:ascii="Arial" w:hAnsi="Arial" w:cs="Arial"/>
                <w:i/>
              </w:rPr>
              <w:t xml:space="preserve"> Redacción sobre:</w:t>
            </w:r>
            <w:r w:rsidR="000C4E75" w:rsidRPr="003C18B5">
              <w:rPr>
                <w:rFonts w:ascii="Arial" w:hAnsi="Arial" w:cs="Arial"/>
                <w:i/>
              </w:rPr>
              <w:t xml:space="preserve"> </w:t>
            </w:r>
            <w:r w:rsidR="00B12995" w:rsidRPr="003C18B5">
              <w:rPr>
                <w:rFonts w:ascii="Arial" w:hAnsi="Arial" w:cs="Arial"/>
                <w:i/>
              </w:rPr>
              <w:t xml:space="preserve">El respeto a la persona y a la comunidad que participa en el estudio. La Autonomía y voluntariedad en la consecución del </w:t>
            </w:r>
            <w:r w:rsidR="001806E8" w:rsidRPr="003C18B5">
              <w:rPr>
                <w:rFonts w:ascii="Arial" w:hAnsi="Arial" w:cs="Arial"/>
                <w:i/>
              </w:rPr>
              <w:t>Consentimiento informado</w:t>
            </w:r>
            <w:r w:rsidR="00B12995" w:rsidRPr="003C18B5">
              <w:rPr>
                <w:rFonts w:ascii="Arial" w:hAnsi="Arial" w:cs="Arial"/>
                <w:i/>
              </w:rPr>
              <w:t>. La Beneficencia del estudio para la persona, comunidad y país. La Confidencialidad. La Protección de la población vulnerable. Los Riesgos potenciales del estudio. Los Beneficios potenciales del estudio. Competencias éticas y experticia de</w:t>
            </w:r>
            <w:r w:rsidR="00C830FD" w:rsidRPr="003C18B5">
              <w:rPr>
                <w:rFonts w:ascii="Arial" w:hAnsi="Arial" w:cs="Arial"/>
                <w:i/>
              </w:rPr>
              <w:t xml:space="preserve"> cada uno de cada uno de los investigadores</w:t>
            </w:r>
            <w:r w:rsidR="00B12995" w:rsidRPr="003C18B5">
              <w:rPr>
                <w:rFonts w:ascii="Arial" w:hAnsi="Arial" w:cs="Arial"/>
                <w:i/>
              </w:rPr>
              <w:t>. Declaración de conflicto de intereses. En lo legal debe redactarse que la investigación está acorde a la legislación y normativa vigente nacional e internacional.</w:t>
            </w:r>
          </w:p>
        </w:tc>
      </w:tr>
      <w:tr w:rsidR="008F3B2C" w:rsidRPr="003C18B5" w:rsidTr="00551DEB">
        <w:trPr>
          <w:trHeight w:val="548"/>
        </w:trPr>
        <w:tc>
          <w:tcPr>
            <w:tcW w:w="9606" w:type="dxa"/>
            <w:vAlign w:val="center"/>
          </w:tcPr>
          <w:p w:rsidR="008F3B2C" w:rsidRPr="003C18B5" w:rsidRDefault="009C67FA" w:rsidP="009C67FA">
            <w:pPr>
              <w:spacing w:before="120" w:after="120"/>
              <w:rPr>
                <w:rFonts w:ascii="Arial" w:hAnsi="Arial" w:cs="Arial"/>
              </w:rPr>
            </w:pPr>
            <w:r>
              <w:rPr>
                <w:rFonts w:ascii="Arial" w:hAnsi="Arial" w:cs="Arial"/>
              </w:rPr>
              <w:t>Los resultados de esta investigación potencialmente contribuirían al desarrollo de nuevas sustancias químicas con bioactividad comprobada en una diversidad de gérmenes</w:t>
            </w:r>
            <w:r w:rsidR="00006837">
              <w:rPr>
                <w:rFonts w:ascii="Arial" w:hAnsi="Arial" w:cs="Arial"/>
              </w:rPr>
              <w:t>,</w:t>
            </w:r>
            <w:r>
              <w:rPr>
                <w:rFonts w:ascii="Arial" w:hAnsi="Arial" w:cs="Arial"/>
              </w:rPr>
              <w:t xml:space="preserve"> así como en ciertos vectores transmisores de enfermedades. En consecuencia, el impacto local en Ecuador pudiese beneficiar, por ejemplo, alrededor de 251369 personas que residen en focos activos de malaria </w:t>
            </w:r>
            <w:r>
              <w:rPr>
                <w:rFonts w:ascii="Arial" w:hAnsi="Arial" w:cs="Arial"/>
              </w:rPr>
              <w:fldChar w:fldCharType="begin" w:fldLock="1"/>
            </w:r>
            <w:r>
              <w:rPr>
                <w:rFonts w:ascii="Arial" w:hAnsi="Arial" w:cs="Arial"/>
              </w:rPr>
              <w:instrText>ADDIN CSL_CITATION { "citationItems" : [ { "id" : "ITEM-1", "itemData" : { "DOI" : "10.4135/9781452276151.n221", "ISBN" : "9781452205052", "ISSN" : "0311-4546", "PMID" : "9375913", "abstract" : "m a l a r i a a t l a s p r o j e c t", "author" : [ { "dropping-particle" : "", "family" : "WHO", "given" : "", "non-dropping-particle" : "", "parse-names" : false, "suffix" : "" } ], "container-title" : "World Health Organization", "id" : "ITEM-1", "issued" : { "date-parts" : [ [ "2016" ] ] }, "number-of-pages" : "1-186", "title" : "World Malaria Report", "type" : "book" }, "uris" : [ "http://www.mendeley.com/documents/?uuid=6fb7d379-6970-4fa7-985c-a89fefd0182c" ] } ], "mendeley" : { "formattedCitation" : "(WHO, 2016)", "plainTextFormattedCitation" : "(WHO, 2016)", "previouslyFormattedCitation" : "(WHO, 2016)" }, "properties" : {  }, "schema" : "https://github.com/citation-style-language/schema/raw/master/csl-citation.json" }</w:instrText>
            </w:r>
            <w:r>
              <w:rPr>
                <w:rFonts w:ascii="Arial" w:hAnsi="Arial" w:cs="Arial"/>
              </w:rPr>
              <w:fldChar w:fldCharType="separate"/>
            </w:r>
            <w:r w:rsidRPr="009C67FA">
              <w:rPr>
                <w:rFonts w:ascii="Arial" w:hAnsi="Arial" w:cs="Arial"/>
                <w:noProof/>
              </w:rPr>
              <w:t>(WHO, 2016)</w:t>
            </w:r>
            <w:r>
              <w:rPr>
                <w:rFonts w:ascii="Arial" w:hAnsi="Arial" w:cs="Arial"/>
              </w:rPr>
              <w:fldChar w:fldCharType="end"/>
            </w:r>
            <w:r>
              <w:rPr>
                <w:rFonts w:ascii="Arial" w:hAnsi="Arial" w:cs="Arial"/>
              </w:rPr>
              <w:t>.</w:t>
            </w:r>
            <w:r w:rsidR="00006837">
              <w:rPr>
                <w:rFonts w:ascii="Arial" w:hAnsi="Arial" w:cs="Arial"/>
              </w:rPr>
              <w:t xml:space="preserve"> </w:t>
            </w:r>
          </w:p>
        </w:tc>
      </w:tr>
    </w:tbl>
    <w:p w:rsidR="008F3B2C" w:rsidRDefault="008F3B2C" w:rsidP="00F635FC">
      <w:pPr>
        <w:rPr>
          <w:rFonts w:ascii="Arial" w:hAnsi="Arial" w:cs="Arial"/>
          <w:b/>
        </w:rPr>
      </w:pPr>
    </w:p>
    <w:p w:rsidR="00297CE4" w:rsidRPr="003C18B5" w:rsidRDefault="00297CE4" w:rsidP="00F635FC">
      <w:pPr>
        <w:rPr>
          <w:rFonts w:ascii="Arial" w:hAnsi="Arial" w:cs="Arial"/>
          <w:b/>
        </w:rPr>
      </w:pPr>
    </w:p>
    <w:tbl>
      <w:tblPr>
        <w:tblStyle w:val="Tablaconcuadrcula"/>
        <w:tblW w:w="9606" w:type="dxa"/>
        <w:tblLayout w:type="fixed"/>
        <w:tblLook w:val="04A0"/>
      </w:tblPr>
      <w:tblGrid>
        <w:gridCol w:w="9606"/>
      </w:tblGrid>
      <w:tr w:rsidR="00B2389C" w:rsidRPr="003C18B5" w:rsidTr="00E03BDD">
        <w:trPr>
          <w:trHeight w:val="261"/>
        </w:trPr>
        <w:tc>
          <w:tcPr>
            <w:tcW w:w="9606" w:type="dxa"/>
            <w:shd w:val="clear" w:color="auto" w:fill="D9D9D9" w:themeFill="background1" w:themeFillShade="D9"/>
            <w:vAlign w:val="bottom"/>
          </w:tcPr>
          <w:p w:rsidR="00B2389C" w:rsidRPr="003C18B5" w:rsidRDefault="00B2389C" w:rsidP="00E03BDD">
            <w:pPr>
              <w:spacing w:after="0"/>
              <w:rPr>
                <w:rFonts w:ascii="Arial" w:hAnsi="Arial" w:cs="Arial"/>
                <w:b/>
              </w:rPr>
            </w:pPr>
            <w:r w:rsidRPr="003C18B5">
              <w:rPr>
                <w:rFonts w:ascii="Arial" w:hAnsi="Arial" w:cs="Arial"/>
                <w:b/>
              </w:rPr>
              <w:lastRenderedPageBreak/>
              <w:t xml:space="preserve">11. BIBLIOGRAFÍA </w:t>
            </w:r>
          </w:p>
          <w:p w:rsidR="00B2389C" w:rsidRPr="003C18B5" w:rsidRDefault="00B2389C" w:rsidP="00E03BDD">
            <w:pPr>
              <w:spacing w:after="0"/>
              <w:rPr>
                <w:rFonts w:ascii="Arial" w:hAnsi="Arial" w:cs="Arial"/>
                <w:b/>
              </w:rPr>
            </w:pPr>
            <w:r w:rsidRPr="003C18B5">
              <w:rPr>
                <w:rFonts w:ascii="Arial" w:hAnsi="Arial" w:cs="Arial"/>
              </w:rPr>
              <w:t>(</w:t>
            </w:r>
            <w:r w:rsidRPr="003C18B5">
              <w:rPr>
                <w:rFonts w:ascii="Arial" w:hAnsi="Arial" w:cs="Arial"/>
                <w:i/>
              </w:rPr>
              <w:t>Utilice normas APA o Vancouver)</w:t>
            </w:r>
          </w:p>
        </w:tc>
      </w:tr>
      <w:tr w:rsidR="00B2389C" w:rsidRPr="003C18B5" w:rsidTr="00E03BDD">
        <w:trPr>
          <w:trHeight w:val="548"/>
        </w:trPr>
        <w:tc>
          <w:tcPr>
            <w:tcW w:w="9606" w:type="dxa"/>
          </w:tcPr>
          <w:p w:rsidR="009C67FA" w:rsidRPr="009C67FA" w:rsidRDefault="005A7F6F" w:rsidP="00C00D53">
            <w:pPr>
              <w:widowControl w:val="0"/>
              <w:autoSpaceDE w:val="0"/>
              <w:autoSpaceDN w:val="0"/>
              <w:adjustRightInd w:val="0"/>
              <w:spacing w:before="120"/>
              <w:ind w:left="482" w:hanging="482"/>
              <w:rPr>
                <w:rFonts w:ascii="Arial" w:hAnsi="Arial" w:cs="Arial"/>
                <w:noProof/>
                <w:szCs w:val="24"/>
              </w:rPr>
            </w:pPr>
            <w:r w:rsidRPr="003C18B5">
              <w:rPr>
                <w:rFonts w:ascii="Arial" w:hAnsi="Arial" w:cs="Arial"/>
              </w:rPr>
              <w:fldChar w:fldCharType="begin" w:fldLock="1"/>
            </w:r>
            <w:r w:rsidRPr="003C18B5">
              <w:rPr>
                <w:rFonts w:ascii="Arial" w:hAnsi="Arial" w:cs="Arial"/>
                <w:lang w:val="en-US"/>
              </w:rPr>
              <w:instrText xml:space="preserve">ADDIN Mendeley Bibliography CSL_BIBLIOGRAPHY </w:instrText>
            </w:r>
            <w:r w:rsidRPr="003C18B5">
              <w:rPr>
                <w:rFonts w:ascii="Arial" w:hAnsi="Arial" w:cs="Arial"/>
              </w:rPr>
              <w:fldChar w:fldCharType="separate"/>
            </w:r>
            <w:r w:rsidR="009C67FA" w:rsidRPr="009C67FA">
              <w:rPr>
                <w:rFonts w:ascii="Arial" w:hAnsi="Arial" w:cs="Arial"/>
                <w:noProof/>
                <w:szCs w:val="24"/>
              </w:rPr>
              <w:t xml:space="preserve">Allinger N; Lii HJ. (1989). Molecular mechanics. The MM3 force field for hydrocarbons. </w:t>
            </w:r>
            <w:r w:rsidR="009C67FA" w:rsidRPr="009C67FA">
              <w:rPr>
                <w:rFonts w:ascii="Arial" w:hAnsi="Arial" w:cs="Arial"/>
                <w:i/>
                <w:iCs/>
                <w:noProof/>
                <w:szCs w:val="24"/>
              </w:rPr>
              <w:t>J Am Chem Soc</w:t>
            </w:r>
            <w:r w:rsidR="009C67FA" w:rsidRPr="009C67FA">
              <w:rPr>
                <w:rFonts w:ascii="Arial" w:hAnsi="Arial" w:cs="Arial"/>
                <w:noProof/>
                <w:szCs w:val="24"/>
              </w:rPr>
              <w:t xml:space="preserve">, </w:t>
            </w:r>
            <w:r w:rsidR="009C67FA" w:rsidRPr="009C67FA">
              <w:rPr>
                <w:rFonts w:ascii="Arial" w:hAnsi="Arial" w:cs="Arial"/>
                <w:i/>
                <w:iCs/>
                <w:noProof/>
                <w:szCs w:val="24"/>
              </w:rPr>
              <w:t>111</w:t>
            </w:r>
            <w:r w:rsidR="009C67FA" w:rsidRPr="009C67FA">
              <w:rPr>
                <w:rFonts w:ascii="Arial" w:hAnsi="Arial" w:cs="Arial"/>
                <w:noProof/>
                <w:szCs w:val="24"/>
              </w:rPr>
              <w:t>, 8551–8556.</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Bendrat K, Berger BJ, Cerami, A. (1995). Haem polymerization in malaria. </w:t>
            </w:r>
            <w:r w:rsidRPr="009C67FA">
              <w:rPr>
                <w:rFonts w:ascii="Arial" w:hAnsi="Arial" w:cs="Arial"/>
                <w:i/>
                <w:iCs/>
                <w:noProof/>
                <w:szCs w:val="24"/>
              </w:rPr>
              <w:t>Nature</w:t>
            </w:r>
            <w:r w:rsidRPr="009C67FA">
              <w:rPr>
                <w:rFonts w:ascii="Arial" w:hAnsi="Arial" w:cs="Arial"/>
                <w:noProof/>
                <w:szCs w:val="24"/>
              </w:rPr>
              <w:t xml:space="preserve">, </w:t>
            </w:r>
            <w:r w:rsidRPr="009C67FA">
              <w:rPr>
                <w:rFonts w:ascii="Arial" w:hAnsi="Arial" w:cs="Arial"/>
                <w:i/>
                <w:iCs/>
                <w:noProof/>
                <w:szCs w:val="24"/>
              </w:rPr>
              <w:t>378</w:t>
            </w:r>
            <w:r w:rsidRPr="009C67FA">
              <w:rPr>
                <w:rFonts w:ascii="Arial" w:hAnsi="Arial" w:cs="Arial"/>
                <w:noProof/>
                <w:szCs w:val="24"/>
              </w:rPr>
              <w:t>, 138–139.</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Bohle, D. S., Dinnebier, R. E., Madsen, S. K., &amp; Stephens, P. W. (1997). Characterization of the products of the heme detoxification pathway in malarial late trophozoites by X-ray diffraction. </w:t>
            </w:r>
            <w:r w:rsidRPr="009C67FA">
              <w:rPr>
                <w:rFonts w:ascii="Arial" w:hAnsi="Arial" w:cs="Arial"/>
                <w:i/>
                <w:iCs/>
                <w:noProof/>
                <w:szCs w:val="24"/>
              </w:rPr>
              <w:t>Journal of Biological Chemistry</w:t>
            </w:r>
            <w:r w:rsidRPr="009C67FA">
              <w:rPr>
                <w:rFonts w:ascii="Arial" w:hAnsi="Arial" w:cs="Arial"/>
                <w:noProof/>
                <w:szCs w:val="24"/>
              </w:rPr>
              <w:t xml:space="preserve">, </w:t>
            </w:r>
            <w:r w:rsidRPr="009C67FA">
              <w:rPr>
                <w:rFonts w:ascii="Arial" w:hAnsi="Arial" w:cs="Arial"/>
                <w:i/>
                <w:iCs/>
                <w:noProof/>
                <w:szCs w:val="24"/>
              </w:rPr>
              <w:t>272</w:t>
            </w:r>
            <w:r w:rsidRPr="009C67FA">
              <w:rPr>
                <w:rFonts w:ascii="Arial" w:hAnsi="Arial" w:cs="Arial"/>
                <w:noProof/>
                <w:szCs w:val="24"/>
              </w:rPr>
              <w:t>(2), 713–716. https://doi.org/10.1074/jbc.272.2.713</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Casero J, Klayman D, Childs G, Scovill J, D. R. (1980). Activity of 2-acetylpyridine thiosemicarbazones against Trypanosoma rhodesiense in vitro. </w:t>
            </w:r>
            <w:r w:rsidRPr="009C67FA">
              <w:rPr>
                <w:rFonts w:ascii="Arial" w:hAnsi="Arial" w:cs="Arial"/>
                <w:i/>
                <w:iCs/>
                <w:noProof/>
                <w:szCs w:val="24"/>
              </w:rPr>
              <w:t>Antimicrob Agents Chemother</w:t>
            </w:r>
            <w:r w:rsidRPr="009C67FA">
              <w:rPr>
                <w:rFonts w:ascii="Arial" w:hAnsi="Arial" w:cs="Arial"/>
                <w:noProof/>
                <w:szCs w:val="24"/>
              </w:rPr>
              <w:t xml:space="preserve">, </w:t>
            </w:r>
            <w:r w:rsidRPr="009C67FA">
              <w:rPr>
                <w:rFonts w:ascii="Arial" w:hAnsi="Arial" w:cs="Arial"/>
                <w:i/>
                <w:iCs/>
                <w:noProof/>
                <w:szCs w:val="24"/>
              </w:rPr>
              <w:t>18</w:t>
            </w:r>
            <w:r w:rsidRPr="009C67FA">
              <w:rPr>
                <w:rFonts w:ascii="Arial" w:hAnsi="Arial" w:cs="Arial"/>
                <w:noProof/>
                <w:szCs w:val="24"/>
              </w:rPr>
              <w:t>(2), 317–322.</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Chikhi A; Bensegueni A. (2008). Docking Efficiency Comparison of Surflex, a Commercial Package and Arguslab, a Licensable Freeware. </w:t>
            </w:r>
            <w:r w:rsidRPr="009C67FA">
              <w:rPr>
                <w:rFonts w:ascii="Arial" w:hAnsi="Arial" w:cs="Arial"/>
                <w:i/>
                <w:iCs/>
                <w:noProof/>
                <w:szCs w:val="24"/>
              </w:rPr>
              <w:t>J Comput Sci Syst Biol</w:t>
            </w:r>
            <w:r w:rsidRPr="009C67FA">
              <w:rPr>
                <w:rFonts w:ascii="Arial" w:hAnsi="Arial" w:cs="Arial"/>
                <w:noProof/>
                <w:szCs w:val="24"/>
              </w:rPr>
              <w:t xml:space="preserve">, </w:t>
            </w:r>
            <w:r w:rsidRPr="009C67FA">
              <w:rPr>
                <w:rFonts w:ascii="Arial" w:hAnsi="Arial" w:cs="Arial"/>
                <w:i/>
                <w:iCs/>
                <w:noProof/>
                <w:szCs w:val="24"/>
              </w:rPr>
              <w:t>1</w:t>
            </w:r>
            <w:r w:rsidRPr="009C67FA">
              <w:rPr>
                <w:rFonts w:ascii="Arial" w:hAnsi="Arial" w:cs="Arial"/>
                <w:noProof/>
                <w:szCs w:val="24"/>
              </w:rPr>
              <w:t>, 081–086.</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Chipeleme, A., Gut, J., Rosenthal, P. J., &amp; Chibale, K. (2007). Synthesis and biological evaluation of phenolic Mannich bases of benzaldehyde and (thio)semicarbazone derivatives against the cysteine protease falcipain-2 and a chloroquine resistant strain of Plasmodium falciparum. </w:t>
            </w:r>
            <w:r w:rsidRPr="009C67FA">
              <w:rPr>
                <w:rFonts w:ascii="Arial" w:hAnsi="Arial" w:cs="Arial"/>
                <w:i/>
                <w:iCs/>
                <w:noProof/>
                <w:szCs w:val="24"/>
              </w:rPr>
              <w:t>Bioorganic and Medicinal Chemistry</w:t>
            </w:r>
            <w:r w:rsidRPr="009C67FA">
              <w:rPr>
                <w:rFonts w:ascii="Arial" w:hAnsi="Arial" w:cs="Arial"/>
                <w:noProof/>
                <w:szCs w:val="24"/>
              </w:rPr>
              <w:t xml:space="preserve">, </w:t>
            </w:r>
            <w:r w:rsidRPr="009C67FA">
              <w:rPr>
                <w:rFonts w:ascii="Arial" w:hAnsi="Arial" w:cs="Arial"/>
                <w:i/>
                <w:iCs/>
                <w:noProof/>
                <w:szCs w:val="24"/>
              </w:rPr>
              <w:t>15</w:t>
            </w:r>
            <w:r w:rsidRPr="009C67FA">
              <w:rPr>
                <w:rFonts w:ascii="Arial" w:hAnsi="Arial" w:cs="Arial"/>
                <w:noProof/>
                <w:szCs w:val="24"/>
              </w:rPr>
              <w:t>(1), 273–282. https://doi.org/10.1016/j.bmc.2006.09.055</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Chiyanzu I, Clarkson C, Smith P, Lehman J, Gut J, Rosenthal Ph, C. K. (2005). Design, synthesis and anti-plasmodial evaluation in vitro of new 4-aminoquinoline isatin derivatives. </w:t>
            </w:r>
            <w:r w:rsidRPr="009C67FA">
              <w:rPr>
                <w:rFonts w:ascii="Arial" w:hAnsi="Arial" w:cs="Arial"/>
                <w:i/>
                <w:iCs/>
                <w:noProof/>
                <w:szCs w:val="24"/>
              </w:rPr>
              <w:t>Bioorg Med Chem</w:t>
            </w:r>
            <w:r w:rsidRPr="009C67FA">
              <w:rPr>
                <w:rFonts w:ascii="Arial" w:hAnsi="Arial" w:cs="Arial"/>
                <w:noProof/>
                <w:szCs w:val="24"/>
              </w:rPr>
              <w:t xml:space="preserve">, </w:t>
            </w:r>
            <w:r w:rsidRPr="009C67FA">
              <w:rPr>
                <w:rFonts w:ascii="Arial" w:hAnsi="Arial" w:cs="Arial"/>
                <w:i/>
                <w:iCs/>
                <w:noProof/>
                <w:szCs w:val="24"/>
              </w:rPr>
              <w:t>13</w:t>
            </w:r>
            <w:r w:rsidRPr="009C67FA">
              <w:rPr>
                <w:rFonts w:ascii="Arial" w:hAnsi="Arial" w:cs="Arial"/>
                <w:noProof/>
                <w:szCs w:val="24"/>
              </w:rPr>
              <w:t>(9), 3249–3261. https://doi.org/https://doi.org/10.1016/j.bmc.2005.02.037</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de Oliveira, R. B., de Souza-Fagundes, E. M., Soares, R. P. P., Andrade, A. A., Krettli, A. U., &amp; Zani, C. L. (2008). Synthesis and antimalarial activity of semicarbazone and thiosemicarbazone derivatives. </w:t>
            </w:r>
            <w:r w:rsidRPr="009C67FA">
              <w:rPr>
                <w:rFonts w:ascii="Arial" w:hAnsi="Arial" w:cs="Arial"/>
                <w:i/>
                <w:iCs/>
                <w:noProof/>
                <w:szCs w:val="24"/>
              </w:rPr>
              <w:t>European Journal of Medicinal Chemistry</w:t>
            </w:r>
            <w:r w:rsidRPr="009C67FA">
              <w:rPr>
                <w:rFonts w:ascii="Arial" w:hAnsi="Arial" w:cs="Arial"/>
                <w:noProof/>
                <w:szCs w:val="24"/>
              </w:rPr>
              <w:t xml:space="preserve">, </w:t>
            </w:r>
            <w:r w:rsidRPr="009C67FA">
              <w:rPr>
                <w:rFonts w:ascii="Arial" w:hAnsi="Arial" w:cs="Arial"/>
                <w:i/>
                <w:iCs/>
                <w:noProof/>
                <w:szCs w:val="24"/>
              </w:rPr>
              <w:t>43</w:t>
            </w:r>
            <w:r w:rsidRPr="009C67FA">
              <w:rPr>
                <w:rFonts w:ascii="Arial" w:hAnsi="Arial" w:cs="Arial"/>
                <w:noProof/>
                <w:szCs w:val="24"/>
              </w:rPr>
              <w:t>(9), 1983–1988. https://doi.org/10.1016/j.ejmech.2007.11.012</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Egan, T. (2008). Haemozoin formation. </w:t>
            </w:r>
            <w:r w:rsidRPr="009C67FA">
              <w:rPr>
                <w:rFonts w:ascii="Arial" w:hAnsi="Arial" w:cs="Arial"/>
                <w:i/>
                <w:iCs/>
                <w:noProof/>
                <w:szCs w:val="24"/>
              </w:rPr>
              <w:t>Molecular and Biochemical Parasitology</w:t>
            </w:r>
            <w:r w:rsidRPr="009C67FA">
              <w:rPr>
                <w:rFonts w:ascii="Arial" w:hAnsi="Arial" w:cs="Arial"/>
                <w:noProof/>
                <w:szCs w:val="24"/>
              </w:rPr>
              <w:t xml:space="preserve">, </w:t>
            </w:r>
            <w:r w:rsidRPr="009C67FA">
              <w:rPr>
                <w:rFonts w:ascii="Arial" w:hAnsi="Arial" w:cs="Arial"/>
                <w:i/>
                <w:iCs/>
                <w:noProof/>
                <w:szCs w:val="24"/>
              </w:rPr>
              <w:t>157</w:t>
            </w:r>
            <w:r w:rsidRPr="009C67FA">
              <w:rPr>
                <w:rFonts w:ascii="Arial" w:hAnsi="Arial" w:cs="Arial"/>
                <w:noProof/>
                <w:szCs w:val="24"/>
              </w:rPr>
              <w:t>(2), 127–136. https://doi.org/10.1016/j.molbiopara.2007.11.005</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Egan, T. J. (2004). Haemozoin Formation as a Target for the Rational Design of New Antimalarials. </w:t>
            </w:r>
            <w:r w:rsidRPr="009C67FA">
              <w:rPr>
                <w:rFonts w:ascii="Arial" w:hAnsi="Arial" w:cs="Arial"/>
                <w:i/>
                <w:iCs/>
                <w:noProof/>
                <w:szCs w:val="24"/>
              </w:rPr>
              <w:t>Drug Design Reviews</w:t>
            </w:r>
            <w:r w:rsidRPr="009C67FA">
              <w:rPr>
                <w:rFonts w:ascii="Arial" w:hAnsi="Arial" w:cs="Arial"/>
                <w:noProof/>
                <w:szCs w:val="24"/>
              </w:rPr>
              <w:t xml:space="preserve">, </w:t>
            </w:r>
            <w:r w:rsidRPr="009C67FA">
              <w:rPr>
                <w:rFonts w:ascii="Arial" w:hAnsi="Arial" w:cs="Arial"/>
                <w:i/>
                <w:iCs/>
                <w:noProof/>
                <w:szCs w:val="24"/>
              </w:rPr>
              <w:t>1</w:t>
            </w:r>
            <w:r w:rsidRPr="009C67FA">
              <w:rPr>
                <w:rFonts w:ascii="Arial" w:hAnsi="Arial" w:cs="Arial"/>
                <w:noProof/>
                <w:szCs w:val="24"/>
              </w:rPr>
              <w:t>(1), 93–110.</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Ferrer, R., Lobo, G., Gamboa, N., Rodrigues, J., Abramjuk, C., Jung, K., … Charris, J. E. (2009). Synthesis of [(7-chloroquinolin-4-yl)amino]chalcones: Potential antimalarial and anticancer agents. </w:t>
            </w:r>
            <w:r w:rsidRPr="009C67FA">
              <w:rPr>
                <w:rFonts w:ascii="Arial" w:hAnsi="Arial" w:cs="Arial"/>
                <w:i/>
                <w:iCs/>
                <w:noProof/>
                <w:szCs w:val="24"/>
              </w:rPr>
              <w:t>Scientia Pharmaceutica</w:t>
            </w:r>
            <w:r w:rsidRPr="009C67FA">
              <w:rPr>
                <w:rFonts w:ascii="Arial" w:hAnsi="Arial" w:cs="Arial"/>
                <w:noProof/>
                <w:szCs w:val="24"/>
              </w:rPr>
              <w:t xml:space="preserve">, </w:t>
            </w:r>
            <w:r w:rsidRPr="009C67FA">
              <w:rPr>
                <w:rFonts w:ascii="Arial" w:hAnsi="Arial" w:cs="Arial"/>
                <w:i/>
                <w:iCs/>
                <w:noProof/>
                <w:szCs w:val="24"/>
              </w:rPr>
              <w:t>77</w:t>
            </w:r>
            <w:r w:rsidRPr="009C67FA">
              <w:rPr>
                <w:rFonts w:ascii="Arial" w:hAnsi="Arial" w:cs="Arial"/>
                <w:noProof/>
                <w:szCs w:val="24"/>
              </w:rPr>
              <w:t>(4), 725–741. https://doi.org/10.3797/scipharm.0905-07</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Fitch, C. D. (2004). Ferriprotoporphyrin IX, phospholipids, and the antimalarial actions of quinoline drugs. </w:t>
            </w:r>
            <w:r w:rsidRPr="009C67FA">
              <w:rPr>
                <w:rFonts w:ascii="Arial" w:hAnsi="Arial" w:cs="Arial"/>
                <w:i/>
                <w:iCs/>
                <w:noProof/>
                <w:szCs w:val="24"/>
              </w:rPr>
              <w:t>Life Sciences</w:t>
            </w:r>
            <w:r w:rsidRPr="009C67FA">
              <w:rPr>
                <w:rFonts w:ascii="Arial" w:hAnsi="Arial" w:cs="Arial"/>
                <w:noProof/>
                <w:szCs w:val="24"/>
              </w:rPr>
              <w:t xml:space="preserve">, </w:t>
            </w:r>
            <w:r w:rsidRPr="009C67FA">
              <w:rPr>
                <w:rFonts w:ascii="Arial" w:hAnsi="Arial" w:cs="Arial"/>
                <w:i/>
                <w:iCs/>
                <w:noProof/>
                <w:szCs w:val="24"/>
              </w:rPr>
              <w:t>74</w:t>
            </w:r>
            <w:r w:rsidRPr="009C67FA">
              <w:rPr>
                <w:rFonts w:ascii="Arial" w:hAnsi="Arial" w:cs="Arial"/>
                <w:noProof/>
                <w:szCs w:val="24"/>
              </w:rPr>
              <w:t>(16), 1957–1972. https://doi.org/10.1016/j.lfs.2003.10.003</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Fujii, N., Mallari, J. P., Hansell, E. J., MacKey, Z., Doyle, P., Zhou, Y. M., … Guy, R. K. (2005). Discovery of potent thiosemicarbazone inhibitors of rhodesain and cruzain. </w:t>
            </w:r>
            <w:r w:rsidRPr="009C67FA">
              <w:rPr>
                <w:rFonts w:ascii="Arial" w:hAnsi="Arial" w:cs="Arial"/>
                <w:i/>
                <w:iCs/>
                <w:noProof/>
                <w:szCs w:val="24"/>
              </w:rPr>
              <w:t>Bioorganic and Medicinal Chemistry Letters</w:t>
            </w:r>
            <w:r w:rsidRPr="009C67FA">
              <w:rPr>
                <w:rFonts w:ascii="Arial" w:hAnsi="Arial" w:cs="Arial"/>
                <w:noProof/>
                <w:szCs w:val="24"/>
              </w:rPr>
              <w:t xml:space="preserve">, </w:t>
            </w:r>
            <w:r w:rsidRPr="009C67FA">
              <w:rPr>
                <w:rFonts w:ascii="Arial" w:hAnsi="Arial" w:cs="Arial"/>
                <w:i/>
                <w:iCs/>
                <w:noProof/>
                <w:szCs w:val="24"/>
              </w:rPr>
              <w:t>15</w:t>
            </w:r>
            <w:r w:rsidRPr="009C67FA">
              <w:rPr>
                <w:rFonts w:ascii="Arial" w:hAnsi="Arial" w:cs="Arial"/>
                <w:noProof/>
                <w:szCs w:val="24"/>
              </w:rPr>
              <w:t>(1), 121–123. https://doi.org/10.1016/j.bmcl.2004.10.023</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lastRenderedPageBreak/>
              <w:t xml:space="preserve">Ginsburg, H. (1990). Some reflections concerning host erythrocyte-malarial parasite interrelationships. </w:t>
            </w:r>
            <w:r w:rsidRPr="009C67FA">
              <w:rPr>
                <w:rFonts w:ascii="Arial" w:hAnsi="Arial" w:cs="Arial"/>
                <w:i/>
                <w:iCs/>
                <w:noProof/>
                <w:szCs w:val="24"/>
              </w:rPr>
              <w:t>Blood Cells</w:t>
            </w:r>
            <w:r w:rsidRPr="009C67FA">
              <w:rPr>
                <w:rFonts w:ascii="Arial" w:hAnsi="Arial" w:cs="Arial"/>
                <w:noProof/>
                <w:szCs w:val="24"/>
              </w:rPr>
              <w:t xml:space="preserve">, </w:t>
            </w:r>
            <w:r w:rsidRPr="009C67FA">
              <w:rPr>
                <w:rFonts w:ascii="Arial" w:hAnsi="Arial" w:cs="Arial"/>
                <w:i/>
                <w:iCs/>
                <w:noProof/>
                <w:szCs w:val="24"/>
              </w:rPr>
              <w:t>16</w:t>
            </w:r>
            <w:r w:rsidRPr="009C67FA">
              <w:rPr>
                <w:rFonts w:ascii="Arial" w:hAnsi="Arial" w:cs="Arial"/>
                <w:noProof/>
                <w:szCs w:val="24"/>
              </w:rPr>
              <w:t>, 225–235.</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Ginsburg, H., Famin, O., Zhang, J., &amp; Krugliak, M. (1998). Inhibition of glutathione-dependent degradation of heme by chloroquine and amodiaquine as a possible basis for their antimalarial mode of action. </w:t>
            </w:r>
            <w:r w:rsidRPr="009C67FA">
              <w:rPr>
                <w:rFonts w:ascii="Arial" w:hAnsi="Arial" w:cs="Arial"/>
                <w:i/>
                <w:iCs/>
                <w:noProof/>
                <w:szCs w:val="24"/>
              </w:rPr>
              <w:t>Biochemical Pharmacology</w:t>
            </w:r>
            <w:r w:rsidRPr="009C67FA">
              <w:rPr>
                <w:rFonts w:ascii="Arial" w:hAnsi="Arial" w:cs="Arial"/>
                <w:noProof/>
                <w:szCs w:val="24"/>
              </w:rPr>
              <w:t xml:space="preserve">, </w:t>
            </w:r>
            <w:r w:rsidRPr="009C67FA">
              <w:rPr>
                <w:rFonts w:ascii="Arial" w:hAnsi="Arial" w:cs="Arial"/>
                <w:i/>
                <w:iCs/>
                <w:noProof/>
                <w:szCs w:val="24"/>
              </w:rPr>
              <w:t>56</w:t>
            </w:r>
            <w:r w:rsidRPr="009C67FA">
              <w:rPr>
                <w:rFonts w:ascii="Arial" w:hAnsi="Arial" w:cs="Arial"/>
                <w:noProof/>
                <w:szCs w:val="24"/>
              </w:rPr>
              <w:t>(10), 1305–1313. https://doi.org/10.1016/S0006-2952(98)00184-1</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Hastings, I; Watkins, W. (2006). Tolerance is the key to understanding antimalarial drug resistance. </w:t>
            </w:r>
            <w:r w:rsidRPr="009C67FA">
              <w:rPr>
                <w:rFonts w:ascii="Arial" w:hAnsi="Arial" w:cs="Arial"/>
                <w:i/>
                <w:iCs/>
                <w:noProof/>
                <w:szCs w:val="24"/>
              </w:rPr>
              <w:t>TRENDS in Parasitology</w:t>
            </w:r>
            <w:r w:rsidRPr="009C67FA">
              <w:rPr>
                <w:rFonts w:ascii="Arial" w:hAnsi="Arial" w:cs="Arial"/>
                <w:noProof/>
                <w:szCs w:val="24"/>
              </w:rPr>
              <w:t xml:space="preserve">, </w:t>
            </w:r>
            <w:r w:rsidRPr="009C67FA">
              <w:rPr>
                <w:rFonts w:ascii="Arial" w:hAnsi="Arial" w:cs="Arial"/>
                <w:i/>
                <w:iCs/>
                <w:noProof/>
                <w:szCs w:val="24"/>
              </w:rPr>
              <w:t>22</w:t>
            </w:r>
            <w:r w:rsidRPr="009C67FA">
              <w:rPr>
                <w:rFonts w:ascii="Arial" w:hAnsi="Arial" w:cs="Arial"/>
                <w:noProof/>
                <w:szCs w:val="24"/>
              </w:rPr>
              <w:t>, 71–77.</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Hastings, I. (2004). The origins of antimalarial drug Resistance. </w:t>
            </w:r>
            <w:r w:rsidRPr="009C67FA">
              <w:rPr>
                <w:rFonts w:ascii="Arial" w:hAnsi="Arial" w:cs="Arial"/>
                <w:i/>
                <w:iCs/>
                <w:noProof/>
                <w:szCs w:val="24"/>
              </w:rPr>
              <w:t>TRENDS in Parasitology</w:t>
            </w:r>
            <w:r w:rsidRPr="009C67FA">
              <w:rPr>
                <w:rFonts w:ascii="Arial" w:hAnsi="Arial" w:cs="Arial"/>
                <w:noProof/>
                <w:szCs w:val="24"/>
              </w:rPr>
              <w:t xml:space="preserve">, </w:t>
            </w:r>
            <w:r w:rsidRPr="009C67FA">
              <w:rPr>
                <w:rFonts w:ascii="Arial" w:hAnsi="Arial" w:cs="Arial"/>
                <w:i/>
                <w:iCs/>
                <w:noProof/>
                <w:szCs w:val="24"/>
              </w:rPr>
              <w:t>20</w:t>
            </w:r>
            <w:r w:rsidRPr="009C67FA">
              <w:rPr>
                <w:rFonts w:ascii="Arial" w:hAnsi="Arial" w:cs="Arial"/>
                <w:noProof/>
                <w:szCs w:val="24"/>
              </w:rPr>
              <w:t>, 512–518.</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Kalinowski D, Yu Y, Sharpe P, Islam M, Liao Y-T, Lovejoy D, Kumar N, Bernhardt P, R. D. (2007). Design, synthesis, and characterization of novel iron chelators. </w:t>
            </w:r>
            <w:r w:rsidRPr="009C67FA">
              <w:rPr>
                <w:rFonts w:ascii="Arial" w:hAnsi="Arial" w:cs="Arial"/>
                <w:i/>
                <w:iCs/>
                <w:noProof/>
                <w:szCs w:val="24"/>
              </w:rPr>
              <w:t>J Med Chem</w:t>
            </w:r>
            <w:r w:rsidRPr="009C67FA">
              <w:rPr>
                <w:rFonts w:ascii="Arial" w:hAnsi="Arial" w:cs="Arial"/>
                <w:noProof/>
                <w:szCs w:val="24"/>
              </w:rPr>
              <w:t xml:space="preserve">, </w:t>
            </w:r>
            <w:r w:rsidRPr="009C67FA">
              <w:rPr>
                <w:rFonts w:ascii="Arial" w:hAnsi="Arial" w:cs="Arial"/>
                <w:i/>
                <w:iCs/>
                <w:noProof/>
                <w:szCs w:val="24"/>
              </w:rPr>
              <w:t>50</w:t>
            </w:r>
            <w:r w:rsidRPr="009C67FA">
              <w:rPr>
                <w:rFonts w:ascii="Arial" w:hAnsi="Arial" w:cs="Arial"/>
                <w:noProof/>
                <w:szCs w:val="24"/>
              </w:rPr>
              <w:t>, 3716–3729.</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Klayman D, Bartosevich J, Griffin T, Mason C, S. J. (1979). 2-Acetylpyridine thiosemicarbazones. 1. A new class of potential antimalarial agents. </w:t>
            </w:r>
            <w:r w:rsidRPr="009C67FA">
              <w:rPr>
                <w:rFonts w:ascii="Arial" w:hAnsi="Arial" w:cs="Arial"/>
                <w:i/>
                <w:iCs/>
                <w:noProof/>
                <w:szCs w:val="24"/>
              </w:rPr>
              <w:t>J Med Chem</w:t>
            </w:r>
            <w:r w:rsidRPr="009C67FA">
              <w:rPr>
                <w:rFonts w:ascii="Arial" w:hAnsi="Arial" w:cs="Arial"/>
                <w:noProof/>
                <w:szCs w:val="24"/>
              </w:rPr>
              <w:t xml:space="preserve">, </w:t>
            </w:r>
            <w:r w:rsidRPr="009C67FA">
              <w:rPr>
                <w:rFonts w:ascii="Arial" w:hAnsi="Arial" w:cs="Arial"/>
                <w:i/>
                <w:iCs/>
                <w:noProof/>
                <w:szCs w:val="24"/>
              </w:rPr>
              <w:t>22</w:t>
            </w:r>
            <w:r w:rsidRPr="009C67FA">
              <w:rPr>
                <w:rFonts w:ascii="Arial" w:hAnsi="Arial" w:cs="Arial"/>
                <w:noProof/>
                <w:szCs w:val="24"/>
              </w:rPr>
              <w:t>(7), 855–862. https://doi.org/DOI: 10.1021/jm00193a020</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Krogstad, D. J., Schlesinger, P. H., &amp; Gluzman, I. Y. (1985). Antimalarials increase vescicle pH in Plasmodium falciparum. </w:t>
            </w:r>
            <w:r w:rsidRPr="009C67FA">
              <w:rPr>
                <w:rFonts w:ascii="Arial" w:hAnsi="Arial" w:cs="Arial"/>
                <w:i/>
                <w:iCs/>
                <w:noProof/>
                <w:szCs w:val="24"/>
              </w:rPr>
              <w:t>J.Cell. Biol.</w:t>
            </w:r>
            <w:r w:rsidRPr="009C67FA">
              <w:rPr>
                <w:rFonts w:ascii="Arial" w:hAnsi="Arial" w:cs="Arial"/>
                <w:noProof/>
                <w:szCs w:val="24"/>
              </w:rPr>
              <w:t xml:space="preserve">, </w:t>
            </w:r>
            <w:r w:rsidRPr="009C67FA">
              <w:rPr>
                <w:rFonts w:ascii="Arial" w:hAnsi="Arial" w:cs="Arial"/>
                <w:i/>
                <w:iCs/>
                <w:noProof/>
                <w:szCs w:val="24"/>
              </w:rPr>
              <w:t>101</w:t>
            </w:r>
            <w:r w:rsidRPr="009C67FA">
              <w:rPr>
                <w:rFonts w:ascii="Arial" w:hAnsi="Arial" w:cs="Arial"/>
                <w:noProof/>
                <w:szCs w:val="24"/>
              </w:rPr>
              <w:t>(December), 2302–2309.</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Lew, V. L., Tiffert, T., &amp; Ginsburg, H. (2003). Excess hemoglobin digestion and the osmotic stability of Plasmodium falciparum - Infected red blood cells. </w:t>
            </w:r>
            <w:r w:rsidRPr="009C67FA">
              <w:rPr>
                <w:rFonts w:ascii="Arial" w:hAnsi="Arial" w:cs="Arial"/>
                <w:i/>
                <w:iCs/>
                <w:noProof/>
                <w:szCs w:val="24"/>
              </w:rPr>
              <w:t>Blood</w:t>
            </w:r>
            <w:r w:rsidRPr="009C67FA">
              <w:rPr>
                <w:rFonts w:ascii="Arial" w:hAnsi="Arial" w:cs="Arial"/>
                <w:noProof/>
                <w:szCs w:val="24"/>
              </w:rPr>
              <w:t xml:space="preserve">, </w:t>
            </w:r>
            <w:r w:rsidRPr="009C67FA">
              <w:rPr>
                <w:rFonts w:ascii="Arial" w:hAnsi="Arial" w:cs="Arial"/>
                <w:i/>
                <w:iCs/>
                <w:noProof/>
                <w:szCs w:val="24"/>
              </w:rPr>
              <w:t>101</w:t>
            </w:r>
            <w:r w:rsidRPr="009C67FA">
              <w:rPr>
                <w:rFonts w:ascii="Arial" w:hAnsi="Arial" w:cs="Arial"/>
                <w:noProof/>
                <w:szCs w:val="24"/>
              </w:rPr>
              <w:t>(10), 4189–4194. https://doi.org/10.1182/blood-2002-08-2654</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LORIA, P., MILLER, S., FOLEY, M., &amp; TILLEY, L. (1999). Inhibition of the peroxidative degradation of haem as the basis of action of chloroquine and other quinoline antimalarials. </w:t>
            </w:r>
            <w:r w:rsidRPr="009C67FA">
              <w:rPr>
                <w:rFonts w:ascii="Arial" w:hAnsi="Arial" w:cs="Arial"/>
                <w:i/>
                <w:iCs/>
                <w:noProof/>
                <w:szCs w:val="24"/>
              </w:rPr>
              <w:t>Biochemical Journal</w:t>
            </w:r>
            <w:r w:rsidRPr="009C67FA">
              <w:rPr>
                <w:rFonts w:ascii="Arial" w:hAnsi="Arial" w:cs="Arial"/>
                <w:noProof/>
                <w:szCs w:val="24"/>
              </w:rPr>
              <w:t xml:space="preserve">, </w:t>
            </w:r>
            <w:r w:rsidRPr="009C67FA">
              <w:rPr>
                <w:rFonts w:ascii="Arial" w:hAnsi="Arial" w:cs="Arial"/>
                <w:i/>
                <w:iCs/>
                <w:noProof/>
                <w:szCs w:val="24"/>
              </w:rPr>
              <w:t>339</w:t>
            </w:r>
            <w:r w:rsidRPr="009C67FA">
              <w:rPr>
                <w:rFonts w:ascii="Arial" w:hAnsi="Arial" w:cs="Arial"/>
                <w:noProof/>
                <w:szCs w:val="24"/>
              </w:rPr>
              <w:t>(2), 363–370. https://doi.org/10.1042/bj3390363</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Madrid, P. B., Liou, A. P., DeRisi, J. L., &amp; Guy, R. K. (2006). Incorporation of an intramolecular hydrogen-bonding motif in the side chain of 4-aminoquinolines enhances activity against drug-resistant P. falciparum. </w:t>
            </w:r>
            <w:r w:rsidRPr="009C67FA">
              <w:rPr>
                <w:rFonts w:ascii="Arial" w:hAnsi="Arial" w:cs="Arial"/>
                <w:i/>
                <w:iCs/>
                <w:noProof/>
                <w:szCs w:val="24"/>
              </w:rPr>
              <w:t>Journal of Medicinal Chemistry</w:t>
            </w:r>
            <w:r w:rsidRPr="009C67FA">
              <w:rPr>
                <w:rFonts w:ascii="Arial" w:hAnsi="Arial" w:cs="Arial"/>
                <w:noProof/>
                <w:szCs w:val="24"/>
              </w:rPr>
              <w:t xml:space="preserve">, </w:t>
            </w:r>
            <w:r w:rsidRPr="009C67FA">
              <w:rPr>
                <w:rFonts w:ascii="Arial" w:hAnsi="Arial" w:cs="Arial"/>
                <w:i/>
                <w:iCs/>
                <w:noProof/>
                <w:szCs w:val="24"/>
              </w:rPr>
              <w:t>49</w:t>
            </w:r>
            <w:r w:rsidRPr="009C67FA">
              <w:rPr>
                <w:rFonts w:ascii="Arial" w:hAnsi="Arial" w:cs="Arial"/>
                <w:noProof/>
                <w:szCs w:val="24"/>
              </w:rPr>
              <w:t>(15), 4535–4543. https://doi.org/10.1021/jm0600951</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Mallari, J. P., Guiguemde, W. A., &amp; Guy, R. K. (2009). Antimalarial activity of thiosemicarbazones and purine derived nitriles. </w:t>
            </w:r>
            <w:r w:rsidRPr="009C67FA">
              <w:rPr>
                <w:rFonts w:ascii="Arial" w:hAnsi="Arial" w:cs="Arial"/>
                <w:i/>
                <w:iCs/>
                <w:noProof/>
                <w:szCs w:val="24"/>
              </w:rPr>
              <w:t>Bioorganic and Medicinal Chemistry Letters</w:t>
            </w:r>
            <w:r w:rsidRPr="009C67FA">
              <w:rPr>
                <w:rFonts w:ascii="Arial" w:hAnsi="Arial" w:cs="Arial"/>
                <w:noProof/>
                <w:szCs w:val="24"/>
              </w:rPr>
              <w:t xml:space="preserve">, </w:t>
            </w:r>
            <w:r w:rsidRPr="009C67FA">
              <w:rPr>
                <w:rFonts w:ascii="Arial" w:hAnsi="Arial" w:cs="Arial"/>
                <w:i/>
                <w:iCs/>
                <w:noProof/>
                <w:szCs w:val="24"/>
              </w:rPr>
              <w:t>19</w:t>
            </w:r>
            <w:r w:rsidRPr="009C67FA">
              <w:rPr>
                <w:rFonts w:ascii="Arial" w:hAnsi="Arial" w:cs="Arial"/>
                <w:noProof/>
                <w:szCs w:val="24"/>
              </w:rPr>
              <w:t>(13), 3546–3549. https://doi.org/10.1016/j.bmcl.2009.04.142</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Ministerio de Salud Pública. (2016). </w:t>
            </w:r>
            <w:r w:rsidRPr="009C67FA">
              <w:rPr>
                <w:rFonts w:ascii="Arial" w:hAnsi="Arial" w:cs="Arial"/>
                <w:i/>
                <w:iCs/>
                <w:noProof/>
                <w:szCs w:val="24"/>
              </w:rPr>
              <w:t>Gaceta epidemiológica semanal nro. 34</w:t>
            </w:r>
            <w:r w:rsidRPr="009C67FA">
              <w:rPr>
                <w:rFonts w:ascii="Arial" w:hAnsi="Arial" w:cs="Arial"/>
                <w:noProof/>
                <w:szCs w:val="24"/>
              </w:rPr>
              <w:t>. Retrieved from http://www.salud.gob.ec/wp-content/uploads/2013/02/Gaceta-General-SE34.pdf</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Mohamed I; Hussniyia Al-D. (2011). Synthesis and antibacterial activity of semicarbazone derivatives of some carbonyl compounds. </w:t>
            </w:r>
            <w:r w:rsidRPr="009C67FA">
              <w:rPr>
                <w:rFonts w:ascii="Arial" w:hAnsi="Arial" w:cs="Arial"/>
                <w:i/>
                <w:iCs/>
                <w:noProof/>
                <w:szCs w:val="24"/>
              </w:rPr>
              <w:t>Der Chemica Sinica</w:t>
            </w:r>
            <w:r w:rsidRPr="009C67FA">
              <w:rPr>
                <w:rFonts w:ascii="Arial" w:hAnsi="Arial" w:cs="Arial"/>
                <w:noProof/>
                <w:szCs w:val="24"/>
              </w:rPr>
              <w:t xml:space="preserve">, </w:t>
            </w:r>
            <w:r w:rsidRPr="009C67FA">
              <w:rPr>
                <w:rFonts w:ascii="Arial" w:hAnsi="Arial" w:cs="Arial"/>
                <w:i/>
                <w:iCs/>
                <w:noProof/>
                <w:szCs w:val="24"/>
              </w:rPr>
              <w:t>2</w:t>
            </w:r>
            <w:r w:rsidRPr="009C67FA">
              <w:rPr>
                <w:rFonts w:ascii="Arial" w:hAnsi="Arial" w:cs="Arial"/>
                <w:noProof/>
                <w:szCs w:val="24"/>
              </w:rPr>
              <w:t>(1), 171–173.</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Oda A; Takahashi O. (2009). Validation of ArgusLab Efficiencies for Binding Free Energy Calculations. </w:t>
            </w:r>
            <w:r w:rsidRPr="009C67FA">
              <w:rPr>
                <w:rFonts w:ascii="Arial" w:hAnsi="Arial" w:cs="Arial"/>
                <w:i/>
                <w:iCs/>
                <w:noProof/>
                <w:szCs w:val="24"/>
              </w:rPr>
              <w:t>Chem-Bio Informatics J</w:t>
            </w:r>
            <w:r w:rsidRPr="009C67FA">
              <w:rPr>
                <w:rFonts w:ascii="Arial" w:hAnsi="Arial" w:cs="Arial"/>
                <w:noProof/>
                <w:szCs w:val="24"/>
              </w:rPr>
              <w:t xml:space="preserve">, </w:t>
            </w:r>
            <w:r w:rsidRPr="009C67FA">
              <w:rPr>
                <w:rFonts w:ascii="Arial" w:hAnsi="Arial" w:cs="Arial"/>
                <w:i/>
                <w:iCs/>
                <w:noProof/>
                <w:szCs w:val="24"/>
              </w:rPr>
              <w:t>9</w:t>
            </w:r>
            <w:r w:rsidRPr="009C67FA">
              <w:rPr>
                <w:rFonts w:ascii="Arial" w:hAnsi="Arial" w:cs="Arial"/>
                <w:noProof/>
                <w:szCs w:val="24"/>
              </w:rPr>
              <w:t>, 52–61.</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Oliveira M, Stiebler R, Hoang AN, Wright D, E. T. (2010). Increase on the initial soluble heme levels in acidic conditions is an important mechanism for spontaneous heme crystallization </w:t>
            </w:r>
            <w:r w:rsidRPr="009C67FA">
              <w:rPr>
                <w:rFonts w:ascii="Arial" w:hAnsi="Arial" w:cs="Arial"/>
                <w:noProof/>
                <w:szCs w:val="24"/>
              </w:rPr>
              <w:lastRenderedPageBreak/>
              <w:t xml:space="preserve">in vitro. </w:t>
            </w:r>
            <w:r w:rsidRPr="009C67FA">
              <w:rPr>
                <w:rFonts w:ascii="Arial" w:hAnsi="Arial" w:cs="Arial"/>
                <w:i/>
                <w:iCs/>
                <w:noProof/>
                <w:szCs w:val="24"/>
              </w:rPr>
              <w:t>PloS One</w:t>
            </w:r>
            <w:r w:rsidRPr="009C67FA">
              <w:rPr>
                <w:rFonts w:ascii="Arial" w:hAnsi="Arial" w:cs="Arial"/>
                <w:noProof/>
                <w:szCs w:val="24"/>
              </w:rPr>
              <w:t xml:space="preserve">, </w:t>
            </w:r>
            <w:r w:rsidRPr="009C67FA">
              <w:rPr>
                <w:rFonts w:ascii="Arial" w:hAnsi="Arial" w:cs="Arial"/>
                <w:i/>
                <w:iCs/>
                <w:noProof/>
                <w:szCs w:val="24"/>
              </w:rPr>
              <w:t>5</w:t>
            </w:r>
            <w:r w:rsidRPr="009C67FA">
              <w:rPr>
                <w:rFonts w:ascii="Arial" w:hAnsi="Arial" w:cs="Arial"/>
                <w:noProof/>
                <w:szCs w:val="24"/>
              </w:rPr>
              <w:t>, 1–9. https://doi.org/https://doi.org/10.1371/journal.pone.0012694</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Pagola, S., Stephens, P. W., Bohle, D. S., Kosar, A. D., &amp; Madsen, S. K. (2000). The structure of malaria pigment ??-haematin. </w:t>
            </w:r>
            <w:r w:rsidRPr="009C67FA">
              <w:rPr>
                <w:rFonts w:ascii="Arial" w:hAnsi="Arial" w:cs="Arial"/>
                <w:i/>
                <w:iCs/>
                <w:noProof/>
                <w:szCs w:val="24"/>
              </w:rPr>
              <w:t>Nature</w:t>
            </w:r>
            <w:r w:rsidRPr="009C67FA">
              <w:rPr>
                <w:rFonts w:ascii="Arial" w:hAnsi="Arial" w:cs="Arial"/>
                <w:noProof/>
                <w:szCs w:val="24"/>
              </w:rPr>
              <w:t xml:space="preserve">, </w:t>
            </w:r>
            <w:r w:rsidRPr="009C67FA">
              <w:rPr>
                <w:rFonts w:ascii="Arial" w:hAnsi="Arial" w:cs="Arial"/>
                <w:i/>
                <w:iCs/>
                <w:noProof/>
                <w:szCs w:val="24"/>
              </w:rPr>
              <w:t>404</w:t>
            </w:r>
            <w:r w:rsidRPr="009C67FA">
              <w:rPr>
                <w:rFonts w:ascii="Arial" w:hAnsi="Arial" w:cs="Arial"/>
                <w:noProof/>
                <w:szCs w:val="24"/>
              </w:rPr>
              <w:t>(6775), 307–310. https://doi.org/10.1038/35005132</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Pingaew, R., Prachayasittikul, S., &amp; Ruchirawat, S. (2010). Synthesis, Cytotoxic and Antimalarial Activities of Benzoyl Thiosemicarbazone Analogs of Isoquinoline and Related Compounds, (4), 988–996. https://doi.org/10.3390/molecules15020988</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Pingaew R, Prachayasittikul S, R. S. (2010). Syntesis, cytotoxic and antimalarial activities of benzoyl thiosemicarbazone analogs of isoquinoline and related compounds. </w:t>
            </w:r>
            <w:r w:rsidRPr="009C67FA">
              <w:rPr>
                <w:rFonts w:ascii="Arial" w:hAnsi="Arial" w:cs="Arial"/>
                <w:i/>
                <w:iCs/>
                <w:noProof/>
                <w:szCs w:val="24"/>
              </w:rPr>
              <w:t>Molecules</w:t>
            </w:r>
            <w:r w:rsidRPr="009C67FA">
              <w:rPr>
                <w:rFonts w:ascii="Arial" w:hAnsi="Arial" w:cs="Arial"/>
                <w:noProof/>
                <w:szCs w:val="24"/>
              </w:rPr>
              <w:t xml:space="preserve">, </w:t>
            </w:r>
            <w:r w:rsidRPr="009C67FA">
              <w:rPr>
                <w:rFonts w:ascii="Arial" w:hAnsi="Arial" w:cs="Arial"/>
                <w:i/>
                <w:iCs/>
                <w:noProof/>
                <w:szCs w:val="24"/>
              </w:rPr>
              <w:t>15</w:t>
            </w:r>
            <w:r w:rsidRPr="009C67FA">
              <w:rPr>
                <w:rFonts w:ascii="Arial" w:hAnsi="Arial" w:cs="Arial"/>
                <w:noProof/>
                <w:szCs w:val="24"/>
              </w:rPr>
              <w:t>(988–996).</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Sullivan DJ. (2012). Hemozoin: a biocrystal synthesized during the degradation of hemoglobin. In Biopolymers: Biopolymers and biodegradation of synthetic polymers. Wiley-VCH Verlag GmbH and Co. Weinheim, Germany, 129–163.</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Sundararajan S; Balajee R; Dhana-Rajan M. (2010). Comparative docking analysis of neuraminidase with various inhibitors. </w:t>
            </w:r>
            <w:r w:rsidRPr="009C67FA">
              <w:rPr>
                <w:rFonts w:ascii="Arial" w:hAnsi="Arial" w:cs="Arial"/>
                <w:i/>
                <w:iCs/>
                <w:noProof/>
                <w:szCs w:val="24"/>
              </w:rPr>
              <w:t>Inter J Pharm Pharm Sci</w:t>
            </w:r>
            <w:r w:rsidRPr="009C67FA">
              <w:rPr>
                <w:rFonts w:ascii="Arial" w:hAnsi="Arial" w:cs="Arial"/>
                <w:noProof/>
                <w:szCs w:val="24"/>
              </w:rPr>
              <w:t xml:space="preserve">, </w:t>
            </w:r>
            <w:r w:rsidRPr="009C67FA">
              <w:rPr>
                <w:rFonts w:ascii="Arial" w:hAnsi="Arial" w:cs="Arial"/>
                <w:i/>
                <w:iCs/>
                <w:noProof/>
                <w:szCs w:val="24"/>
              </w:rPr>
              <w:t>2</w:t>
            </w:r>
            <w:r w:rsidRPr="009C67FA">
              <w:rPr>
                <w:rFonts w:ascii="Arial" w:hAnsi="Arial" w:cs="Arial"/>
                <w:noProof/>
                <w:szCs w:val="24"/>
              </w:rPr>
              <w:t>, 83–85.</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WHO. (2016). </w:t>
            </w:r>
            <w:r w:rsidRPr="009C67FA">
              <w:rPr>
                <w:rFonts w:ascii="Arial" w:hAnsi="Arial" w:cs="Arial"/>
                <w:i/>
                <w:iCs/>
                <w:noProof/>
                <w:szCs w:val="24"/>
              </w:rPr>
              <w:t>World Malaria Report</w:t>
            </w:r>
            <w:r w:rsidRPr="009C67FA">
              <w:rPr>
                <w:rFonts w:ascii="Arial" w:hAnsi="Arial" w:cs="Arial"/>
                <w:noProof/>
                <w:szCs w:val="24"/>
              </w:rPr>
              <w:t xml:space="preserve">. </w:t>
            </w:r>
            <w:r w:rsidRPr="009C67FA">
              <w:rPr>
                <w:rFonts w:ascii="Arial" w:hAnsi="Arial" w:cs="Arial"/>
                <w:i/>
                <w:iCs/>
                <w:noProof/>
                <w:szCs w:val="24"/>
              </w:rPr>
              <w:t>World Health Organization</w:t>
            </w:r>
            <w:r w:rsidRPr="009C67FA">
              <w:rPr>
                <w:rFonts w:ascii="Arial" w:hAnsi="Arial" w:cs="Arial"/>
                <w:noProof/>
                <w:szCs w:val="24"/>
              </w:rPr>
              <w:t>. https://doi.org/10.4135/9781452276151.n221</w:t>
            </w:r>
          </w:p>
          <w:p w:rsidR="009C67FA" w:rsidRPr="009C67FA" w:rsidRDefault="009C67FA" w:rsidP="009C67FA">
            <w:pPr>
              <w:widowControl w:val="0"/>
              <w:autoSpaceDE w:val="0"/>
              <w:autoSpaceDN w:val="0"/>
              <w:adjustRightInd w:val="0"/>
              <w:ind w:left="480" w:hanging="480"/>
              <w:rPr>
                <w:rFonts w:ascii="Arial" w:hAnsi="Arial" w:cs="Arial"/>
                <w:noProof/>
                <w:szCs w:val="24"/>
              </w:rPr>
            </w:pPr>
            <w:r w:rsidRPr="009C67FA">
              <w:rPr>
                <w:rFonts w:ascii="Arial" w:hAnsi="Arial" w:cs="Arial"/>
                <w:noProof/>
                <w:szCs w:val="24"/>
              </w:rPr>
              <w:t xml:space="preserve">Yayon, A., Cabantchik, Z. I., &amp; Ginsburg, H. (1985). Susceptibility of human malaria parasites to chloroquine is pH dependent. </w:t>
            </w:r>
            <w:r w:rsidRPr="009C67FA">
              <w:rPr>
                <w:rFonts w:ascii="Arial" w:hAnsi="Arial" w:cs="Arial"/>
                <w:i/>
                <w:iCs/>
                <w:noProof/>
                <w:szCs w:val="24"/>
              </w:rPr>
              <w:t>Proceedings of the National Academy of Sciences of the United States of America</w:t>
            </w:r>
            <w:r w:rsidRPr="009C67FA">
              <w:rPr>
                <w:rFonts w:ascii="Arial" w:hAnsi="Arial" w:cs="Arial"/>
                <w:noProof/>
                <w:szCs w:val="24"/>
              </w:rPr>
              <w:t xml:space="preserve">, </w:t>
            </w:r>
            <w:r w:rsidRPr="009C67FA">
              <w:rPr>
                <w:rFonts w:ascii="Arial" w:hAnsi="Arial" w:cs="Arial"/>
                <w:i/>
                <w:iCs/>
                <w:noProof/>
                <w:szCs w:val="24"/>
              </w:rPr>
              <w:t>82</w:t>
            </w:r>
            <w:r w:rsidRPr="009C67FA">
              <w:rPr>
                <w:rFonts w:ascii="Arial" w:hAnsi="Arial" w:cs="Arial"/>
                <w:noProof/>
                <w:szCs w:val="24"/>
              </w:rPr>
              <w:t>, 2784–2788. https://doi.org/10.1016/j.virol.2008.08.013.Mouse</w:t>
            </w:r>
          </w:p>
          <w:p w:rsidR="009C67FA" w:rsidRPr="009C67FA" w:rsidRDefault="009C67FA" w:rsidP="009C67FA">
            <w:pPr>
              <w:widowControl w:val="0"/>
              <w:autoSpaceDE w:val="0"/>
              <w:autoSpaceDN w:val="0"/>
              <w:adjustRightInd w:val="0"/>
              <w:ind w:left="480" w:hanging="480"/>
              <w:rPr>
                <w:rFonts w:ascii="Arial" w:hAnsi="Arial" w:cs="Arial"/>
                <w:noProof/>
              </w:rPr>
            </w:pPr>
            <w:r w:rsidRPr="009C67FA">
              <w:rPr>
                <w:rFonts w:ascii="Arial" w:hAnsi="Arial" w:cs="Arial"/>
                <w:noProof/>
                <w:szCs w:val="24"/>
              </w:rPr>
              <w:t xml:space="preserve">Yogeeswari, P., Sriram, D., Veena, V., Kavya, R., Rakhra, K., Ragavendran, J. V., … Stables, J. P. (2005). Synthesis of aryl semicarbazones as potential anticonvulsant agents, </w:t>
            </w:r>
            <w:r w:rsidRPr="009C67FA">
              <w:rPr>
                <w:rFonts w:ascii="Arial" w:hAnsi="Arial" w:cs="Arial"/>
                <w:i/>
                <w:iCs/>
                <w:noProof/>
                <w:szCs w:val="24"/>
              </w:rPr>
              <w:t>59</w:t>
            </w:r>
            <w:r w:rsidRPr="009C67FA">
              <w:rPr>
                <w:rFonts w:ascii="Arial" w:hAnsi="Arial" w:cs="Arial"/>
                <w:noProof/>
                <w:szCs w:val="24"/>
              </w:rPr>
              <w:t>, 51–55. https://doi.org/10.1016/j.biopha.2004.04.013</w:t>
            </w:r>
          </w:p>
          <w:p w:rsidR="00B2389C" w:rsidRPr="003C18B5" w:rsidRDefault="005A7F6F" w:rsidP="003A556B">
            <w:pPr>
              <w:widowControl w:val="0"/>
              <w:autoSpaceDE w:val="0"/>
              <w:autoSpaceDN w:val="0"/>
              <w:adjustRightInd w:val="0"/>
              <w:rPr>
                <w:rFonts w:ascii="Arial" w:hAnsi="Arial" w:cs="Arial"/>
                <w:lang w:val="en-US"/>
              </w:rPr>
            </w:pPr>
            <w:r w:rsidRPr="003C18B5">
              <w:rPr>
                <w:rFonts w:ascii="Arial" w:hAnsi="Arial" w:cs="Arial"/>
              </w:rPr>
              <w:fldChar w:fldCharType="end"/>
            </w:r>
          </w:p>
        </w:tc>
      </w:tr>
    </w:tbl>
    <w:p w:rsidR="00B2389C" w:rsidRPr="003C18B5" w:rsidRDefault="00B2389C" w:rsidP="00B2389C">
      <w:pPr>
        <w:rPr>
          <w:rFonts w:ascii="Arial" w:hAnsi="Arial" w:cs="Arial"/>
          <w:b/>
          <w:lang w:val="en-US"/>
        </w:rPr>
      </w:pPr>
    </w:p>
    <w:tbl>
      <w:tblPr>
        <w:tblStyle w:val="Tablaconcuadrcula"/>
        <w:tblW w:w="9606" w:type="dxa"/>
        <w:tblLayout w:type="fixed"/>
        <w:tblLook w:val="04A0"/>
      </w:tblPr>
      <w:tblGrid>
        <w:gridCol w:w="9606"/>
      </w:tblGrid>
      <w:tr w:rsidR="00B2389C" w:rsidRPr="003C18B5" w:rsidTr="00E03BDD">
        <w:trPr>
          <w:trHeight w:val="261"/>
        </w:trPr>
        <w:tc>
          <w:tcPr>
            <w:tcW w:w="9606" w:type="dxa"/>
            <w:shd w:val="clear" w:color="auto" w:fill="D9D9D9" w:themeFill="background1" w:themeFillShade="D9"/>
            <w:vAlign w:val="bottom"/>
          </w:tcPr>
          <w:p w:rsidR="00B2389C" w:rsidRPr="003C18B5" w:rsidRDefault="00B2389C" w:rsidP="00B2389C">
            <w:pPr>
              <w:spacing w:after="0"/>
              <w:rPr>
                <w:rFonts w:ascii="Arial" w:hAnsi="Arial" w:cs="Arial"/>
                <w:b/>
              </w:rPr>
            </w:pPr>
            <w:r w:rsidRPr="003C18B5">
              <w:rPr>
                <w:rFonts w:ascii="Arial" w:hAnsi="Arial" w:cs="Arial"/>
                <w:b/>
              </w:rPr>
              <w:t>12. RESULTADOS ESPERADOS</w:t>
            </w:r>
          </w:p>
        </w:tc>
      </w:tr>
      <w:tr w:rsidR="00B2389C" w:rsidRPr="003C18B5" w:rsidTr="00E03BDD">
        <w:trPr>
          <w:trHeight w:val="548"/>
        </w:trPr>
        <w:tc>
          <w:tcPr>
            <w:tcW w:w="9606" w:type="dxa"/>
          </w:tcPr>
          <w:p w:rsidR="00B2389C" w:rsidRPr="003C18B5" w:rsidRDefault="00AB260D" w:rsidP="00BF52FE">
            <w:pPr>
              <w:spacing w:before="120" w:after="120"/>
              <w:rPr>
                <w:rFonts w:ascii="Arial" w:hAnsi="Arial" w:cs="Arial"/>
              </w:rPr>
            </w:pPr>
            <w:r w:rsidRPr="00E74202">
              <w:rPr>
                <w:rFonts w:ascii="Arial" w:hAnsi="Arial" w:cs="Arial"/>
                <w:b/>
              </w:rPr>
              <w:t>R1:</w:t>
            </w:r>
            <w:r w:rsidRPr="003C18B5">
              <w:rPr>
                <w:rFonts w:ascii="Arial" w:hAnsi="Arial" w:cs="Arial"/>
              </w:rPr>
              <w:t xml:space="preserve"> Se espera obtener l</w:t>
            </w:r>
            <w:r w:rsidR="009F3DDF" w:rsidRPr="003C18B5">
              <w:rPr>
                <w:rFonts w:ascii="Arial" w:hAnsi="Arial" w:cs="Arial"/>
              </w:rPr>
              <w:t>os derivados de semicarbazonas,</w:t>
            </w:r>
            <w:r w:rsidRPr="003C18B5">
              <w:rPr>
                <w:rFonts w:ascii="Arial" w:hAnsi="Arial" w:cs="Arial"/>
              </w:rPr>
              <w:t xml:space="preserve"> tiosemicarbazonas</w:t>
            </w:r>
            <w:r w:rsidR="009F3DDF" w:rsidRPr="003C18B5">
              <w:rPr>
                <w:rFonts w:ascii="Arial" w:hAnsi="Arial" w:cs="Arial"/>
              </w:rPr>
              <w:t xml:space="preserve"> y carboximidamidas</w:t>
            </w:r>
            <w:r w:rsidRPr="003C18B5">
              <w:rPr>
                <w:rFonts w:ascii="Arial" w:hAnsi="Arial" w:cs="Arial"/>
              </w:rPr>
              <w:t xml:space="preserve">, con alta pureza y completamente caracterizados fisicoquímicamente; para ser evaluados biológicamente </w:t>
            </w:r>
            <w:r w:rsidR="00717B48" w:rsidRPr="002062F6">
              <w:rPr>
                <w:rFonts w:ascii="Arial" w:hAnsi="Arial" w:cs="Arial"/>
                <w:i/>
                <w:lang w:val="es-VE"/>
              </w:rPr>
              <w:t>in vitro</w:t>
            </w:r>
            <w:r w:rsidR="00717B48">
              <w:rPr>
                <w:rFonts w:ascii="Arial" w:hAnsi="Arial" w:cs="Arial"/>
                <w:lang w:val="es-VE"/>
              </w:rPr>
              <w:t xml:space="preserve"> y/o </w:t>
            </w:r>
            <w:r w:rsidR="00717B48" w:rsidRPr="002062F6">
              <w:rPr>
                <w:rFonts w:ascii="Arial" w:hAnsi="Arial" w:cs="Arial"/>
                <w:i/>
                <w:lang w:val="es-VE"/>
              </w:rPr>
              <w:t>in vivo</w:t>
            </w:r>
            <w:r w:rsidR="00717B48">
              <w:rPr>
                <w:rFonts w:ascii="Arial" w:hAnsi="Arial" w:cs="Arial"/>
                <w:lang w:val="es-VE"/>
              </w:rPr>
              <w:t xml:space="preserve"> </w:t>
            </w:r>
            <w:r w:rsidRPr="003C18B5">
              <w:rPr>
                <w:rFonts w:ascii="Arial" w:hAnsi="Arial" w:cs="Arial"/>
              </w:rPr>
              <w:t>en investigaciones posteriores.</w:t>
            </w:r>
          </w:p>
          <w:p w:rsidR="00766031" w:rsidRPr="003C18B5" w:rsidRDefault="00AB260D" w:rsidP="00BF52FE">
            <w:pPr>
              <w:spacing w:before="120" w:after="120"/>
              <w:rPr>
                <w:rFonts w:ascii="Arial" w:hAnsi="Arial" w:cs="Arial"/>
              </w:rPr>
            </w:pPr>
            <w:r w:rsidRPr="00E74202">
              <w:rPr>
                <w:rFonts w:ascii="Arial" w:hAnsi="Arial" w:cs="Arial"/>
                <w:b/>
              </w:rPr>
              <w:t>R2</w:t>
            </w:r>
            <w:r w:rsidR="00766031" w:rsidRPr="00E74202">
              <w:rPr>
                <w:rFonts w:ascii="Arial" w:hAnsi="Arial" w:cs="Arial"/>
                <w:b/>
              </w:rPr>
              <w:t>:</w:t>
            </w:r>
            <w:r w:rsidR="00766031" w:rsidRPr="003C18B5">
              <w:rPr>
                <w:rFonts w:ascii="Arial" w:hAnsi="Arial" w:cs="Arial"/>
              </w:rPr>
              <w:t xml:space="preserve"> Con esta investigación se espera aportar</w:t>
            </w:r>
            <w:r w:rsidRPr="003C18B5">
              <w:rPr>
                <w:rFonts w:ascii="Arial" w:hAnsi="Arial" w:cs="Arial"/>
              </w:rPr>
              <w:t xml:space="preserve"> de manera preliminar</w:t>
            </w:r>
            <w:r w:rsidR="00766031" w:rsidRPr="003C18B5">
              <w:rPr>
                <w:rFonts w:ascii="Arial" w:hAnsi="Arial" w:cs="Arial"/>
              </w:rPr>
              <w:t xml:space="preserve"> mayor información acerca de la relación estructura química-actividad biológica de los compuestos derivados de la cloroquina, con la finalidad de que sirva de apoyo a futuras investigaciones relacionadas con el diseño de compuestos bioactivos</w:t>
            </w:r>
            <w:r w:rsidR="001925C0" w:rsidRPr="003C18B5">
              <w:rPr>
                <w:rFonts w:ascii="Arial" w:hAnsi="Arial" w:cs="Arial"/>
              </w:rPr>
              <w:t>. E</w:t>
            </w:r>
            <w:r w:rsidR="00766031" w:rsidRPr="003C18B5">
              <w:rPr>
                <w:rFonts w:ascii="Arial" w:hAnsi="Arial" w:cs="Arial"/>
              </w:rPr>
              <w:t>specialmente aquellos que intervienen en el estadio eritrocítico del ciclo de vida del parásito Plasmodium.</w:t>
            </w:r>
          </w:p>
          <w:p w:rsidR="006A2E23" w:rsidRPr="003C18B5" w:rsidRDefault="00B2389C" w:rsidP="00BF52FE">
            <w:pPr>
              <w:spacing w:before="120" w:after="120"/>
              <w:rPr>
                <w:rFonts w:ascii="Arial" w:hAnsi="Arial" w:cs="Arial"/>
              </w:rPr>
            </w:pPr>
            <w:r w:rsidRPr="00E74202">
              <w:rPr>
                <w:rFonts w:ascii="Arial" w:hAnsi="Arial" w:cs="Arial"/>
                <w:b/>
              </w:rPr>
              <w:t>R3</w:t>
            </w:r>
            <w:r w:rsidR="00766031" w:rsidRPr="00E74202">
              <w:rPr>
                <w:rFonts w:ascii="Arial" w:hAnsi="Arial" w:cs="Arial"/>
                <w:b/>
              </w:rPr>
              <w:t>:</w:t>
            </w:r>
            <w:r w:rsidR="00766031" w:rsidRPr="003C18B5">
              <w:rPr>
                <w:rFonts w:ascii="Arial" w:hAnsi="Arial" w:cs="Arial"/>
              </w:rPr>
              <w:t xml:space="preserve"> </w:t>
            </w:r>
            <w:r w:rsidR="006A2E23" w:rsidRPr="003C18B5">
              <w:rPr>
                <w:rFonts w:ascii="Arial" w:hAnsi="Arial" w:cs="Arial"/>
              </w:rPr>
              <w:t xml:space="preserve">Con este proyecto se pretende consolidar redes de investigación a nivel nacional e internacional que permitan nutrir el “Grupo de Investigación Diagnóstico y Control de la Contaminación Ambiental (DCCA)” y la Línea de Investigación “Síntesis de moléculas bioactivas con potencial uso en el diseño de tecnologías para el control de vectores transmisores de enfermedades”. El grupo DCCA y la línea mencionada están </w:t>
            </w:r>
            <w:r w:rsidR="00477938" w:rsidRPr="003C18B5">
              <w:rPr>
                <w:rFonts w:ascii="Arial" w:hAnsi="Arial" w:cs="Arial"/>
              </w:rPr>
              <w:t>adscritos</w:t>
            </w:r>
            <w:r w:rsidR="006A2E23" w:rsidRPr="003C18B5">
              <w:rPr>
                <w:rFonts w:ascii="Arial" w:hAnsi="Arial" w:cs="Arial"/>
              </w:rPr>
              <w:t xml:space="preserve"> a la Carrera de Ingeniería Ambiental de la UCE. </w:t>
            </w:r>
            <w:r w:rsidR="00477938" w:rsidRPr="003C18B5">
              <w:rPr>
                <w:rFonts w:ascii="Arial" w:hAnsi="Arial" w:cs="Arial"/>
              </w:rPr>
              <w:t xml:space="preserve">También, este proyecto pretende dar un soporte </w:t>
            </w:r>
            <w:r w:rsidR="00477938" w:rsidRPr="003C18B5">
              <w:rPr>
                <w:rFonts w:ascii="Arial" w:hAnsi="Arial" w:cs="Arial"/>
              </w:rPr>
              <w:lastRenderedPageBreak/>
              <w:t>inicial para establecer relaciones interdisciplinarias entre las</w:t>
            </w:r>
            <w:r w:rsidR="006A2E23" w:rsidRPr="003C18B5">
              <w:rPr>
                <w:rFonts w:ascii="Arial" w:hAnsi="Arial" w:cs="Arial"/>
              </w:rPr>
              <w:t xml:space="preserve"> área</w:t>
            </w:r>
            <w:r w:rsidR="00477938" w:rsidRPr="003C18B5">
              <w:rPr>
                <w:rFonts w:ascii="Arial" w:hAnsi="Arial" w:cs="Arial"/>
              </w:rPr>
              <w:t>s</w:t>
            </w:r>
            <w:r w:rsidR="006A2E23" w:rsidRPr="003C18B5">
              <w:rPr>
                <w:rFonts w:ascii="Arial" w:hAnsi="Arial" w:cs="Arial"/>
              </w:rPr>
              <w:t xml:space="preserve"> de Química básica y aplicada</w:t>
            </w:r>
            <w:r w:rsidR="00477938" w:rsidRPr="003C18B5">
              <w:rPr>
                <w:rFonts w:ascii="Arial" w:hAnsi="Arial" w:cs="Arial"/>
              </w:rPr>
              <w:t>,</w:t>
            </w:r>
            <w:r w:rsidR="006A2E23" w:rsidRPr="003C18B5">
              <w:rPr>
                <w:rFonts w:ascii="Arial" w:hAnsi="Arial" w:cs="Arial"/>
              </w:rPr>
              <w:t xml:space="preserve"> </w:t>
            </w:r>
            <w:r w:rsidR="00C004B8" w:rsidRPr="003C18B5">
              <w:rPr>
                <w:rFonts w:ascii="Arial" w:hAnsi="Arial" w:cs="Arial"/>
              </w:rPr>
              <w:t>Ciencias Biológicas,</w:t>
            </w:r>
            <w:r w:rsidR="00477938" w:rsidRPr="003C18B5">
              <w:rPr>
                <w:rFonts w:ascii="Arial" w:hAnsi="Arial" w:cs="Arial"/>
              </w:rPr>
              <w:t xml:space="preserve"> Ingeniería Ambiental</w:t>
            </w:r>
            <w:r w:rsidR="00C004B8" w:rsidRPr="003C18B5">
              <w:rPr>
                <w:rFonts w:ascii="Arial" w:hAnsi="Arial" w:cs="Arial"/>
              </w:rPr>
              <w:t xml:space="preserve"> y Alfabetización Científica-Sostenible.</w:t>
            </w:r>
          </w:p>
        </w:tc>
      </w:tr>
    </w:tbl>
    <w:p w:rsidR="00B2389C" w:rsidRPr="003C18B5" w:rsidRDefault="00B2389C" w:rsidP="00F635FC">
      <w:pPr>
        <w:rPr>
          <w:rFonts w:ascii="Arial" w:hAnsi="Arial" w:cs="Arial"/>
          <w:b/>
        </w:rPr>
      </w:pPr>
    </w:p>
    <w:tbl>
      <w:tblPr>
        <w:tblStyle w:val="Tablaconcuadrcula"/>
        <w:tblW w:w="9606" w:type="dxa"/>
        <w:tblLayout w:type="fixed"/>
        <w:tblLook w:val="04A0"/>
      </w:tblPr>
      <w:tblGrid>
        <w:gridCol w:w="9606"/>
      </w:tblGrid>
      <w:tr w:rsidR="00FC4BB7" w:rsidRPr="003C18B5" w:rsidTr="00E03BDD">
        <w:trPr>
          <w:trHeight w:val="261"/>
        </w:trPr>
        <w:tc>
          <w:tcPr>
            <w:tcW w:w="9606" w:type="dxa"/>
            <w:shd w:val="clear" w:color="auto" w:fill="D9D9D9" w:themeFill="background1" w:themeFillShade="D9"/>
            <w:vAlign w:val="bottom"/>
          </w:tcPr>
          <w:p w:rsidR="00FC4BB7" w:rsidRPr="003C18B5" w:rsidRDefault="00FC4BB7" w:rsidP="00E03BDD">
            <w:pPr>
              <w:spacing w:after="0"/>
              <w:rPr>
                <w:rFonts w:ascii="Arial" w:hAnsi="Arial" w:cs="Arial"/>
                <w:b/>
              </w:rPr>
            </w:pPr>
            <w:r w:rsidRPr="003C18B5">
              <w:rPr>
                <w:rFonts w:ascii="Arial" w:hAnsi="Arial" w:cs="Arial"/>
                <w:b/>
              </w:rPr>
              <w:t>1</w:t>
            </w:r>
            <w:r w:rsidR="00B2389C" w:rsidRPr="003C18B5">
              <w:rPr>
                <w:rFonts w:ascii="Arial" w:hAnsi="Arial" w:cs="Arial"/>
                <w:b/>
              </w:rPr>
              <w:t>3</w:t>
            </w:r>
            <w:r w:rsidRPr="003C18B5">
              <w:rPr>
                <w:rFonts w:ascii="Arial" w:hAnsi="Arial" w:cs="Arial"/>
                <w:b/>
              </w:rPr>
              <w:t>. PLAN DE PUBLICACIONES (máximo 500 palabras)</w:t>
            </w:r>
          </w:p>
          <w:p w:rsidR="00FC4BB7" w:rsidRPr="003C18B5" w:rsidRDefault="00FC4BB7" w:rsidP="00FC4BB7">
            <w:pPr>
              <w:spacing w:after="0"/>
              <w:rPr>
                <w:rFonts w:ascii="Arial" w:hAnsi="Arial" w:cs="Arial"/>
                <w:b/>
                <w:i/>
              </w:rPr>
            </w:pPr>
            <w:r w:rsidRPr="003C18B5">
              <w:rPr>
                <w:rFonts w:ascii="Arial" w:hAnsi="Arial" w:cs="Arial"/>
                <w:i/>
              </w:rPr>
              <w:t>(</w:t>
            </w:r>
            <w:r w:rsidR="0078158F" w:rsidRPr="003C18B5">
              <w:rPr>
                <w:rFonts w:ascii="Arial" w:hAnsi="Arial" w:cs="Arial"/>
                <w:i/>
              </w:rPr>
              <w:t xml:space="preserve">Cómo </w:t>
            </w:r>
            <w:r w:rsidRPr="003C18B5">
              <w:rPr>
                <w:rFonts w:ascii="Arial" w:hAnsi="Arial" w:cs="Arial"/>
                <w:i/>
              </w:rPr>
              <w:t xml:space="preserve">va a difundir su </w:t>
            </w:r>
            <w:r w:rsidR="00B2389C" w:rsidRPr="003C18B5">
              <w:rPr>
                <w:rFonts w:ascii="Arial" w:hAnsi="Arial" w:cs="Arial"/>
                <w:i/>
              </w:rPr>
              <w:t>investigación</w:t>
            </w:r>
            <w:r w:rsidRPr="003C18B5">
              <w:rPr>
                <w:rFonts w:ascii="Arial" w:hAnsi="Arial" w:cs="Arial"/>
                <w:i/>
              </w:rPr>
              <w:t>)</w:t>
            </w:r>
          </w:p>
        </w:tc>
      </w:tr>
      <w:tr w:rsidR="00FC4BB7" w:rsidRPr="003C18B5" w:rsidTr="00E03BDD">
        <w:trPr>
          <w:trHeight w:val="548"/>
        </w:trPr>
        <w:tc>
          <w:tcPr>
            <w:tcW w:w="9606" w:type="dxa"/>
          </w:tcPr>
          <w:p w:rsidR="00FC4BB7" w:rsidRPr="003C18B5" w:rsidRDefault="00C712AD" w:rsidP="00B449CF">
            <w:pPr>
              <w:spacing w:before="120" w:after="120"/>
              <w:rPr>
                <w:rFonts w:ascii="Arial" w:hAnsi="Arial" w:cs="Arial"/>
              </w:rPr>
            </w:pPr>
            <w:r w:rsidRPr="003C18B5">
              <w:rPr>
                <w:rFonts w:ascii="Arial" w:hAnsi="Arial" w:cs="Arial"/>
              </w:rPr>
              <w:t xml:space="preserve">Los resultados de esta investigación conformarán el contenido parcial de futuras comunicaciones que serán </w:t>
            </w:r>
            <w:r w:rsidR="007775CC" w:rsidRPr="003C18B5">
              <w:rPr>
                <w:rFonts w:ascii="Arial" w:hAnsi="Arial" w:cs="Arial"/>
              </w:rPr>
              <w:t>publicadas en revistas científicas internacionales arbitradas e indexadas. Además, se espera asistir a encuentros científicos relacionados con los tópicos a investigar, especialmente al XIX Congreso de la Sociedad Española de Química Terapéutica (2019) y/o al 8th World Annual Congress of Infectious Diseases-2019 (WCID-2019)</w:t>
            </w:r>
            <w:r w:rsidRPr="003C18B5">
              <w:rPr>
                <w:rFonts w:ascii="Arial" w:hAnsi="Arial" w:cs="Arial"/>
              </w:rPr>
              <w:t xml:space="preserve"> y/o al Congreso Interamericano de Ingeniería Sanitaria y Ambiental de AIDIS.</w:t>
            </w:r>
          </w:p>
        </w:tc>
      </w:tr>
    </w:tbl>
    <w:p w:rsidR="00323077" w:rsidRPr="003C18B5" w:rsidRDefault="00323077" w:rsidP="00F635FC">
      <w:pPr>
        <w:rPr>
          <w:rFonts w:ascii="Arial" w:hAnsi="Arial" w:cs="Arial"/>
          <w:b/>
        </w:rPr>
      </w:pPr>
    </w:p>
    <w:tbl>
      <w:tblPr>
        <w:tblStyle w:val="Tablaconcuadrcula"/>
        <w:tblW w:w="9606" w:type="dxa"/>
        <w:tblLayout w:type="fixed"/>
        <w:tblLook w:val="04A0"/>
      </w:tblPr>
      <w:tblGrid>
        <w:gridCol w:w="9606"/>
      </w:tblGrid>
      <w:tr w:rsidR="00090299" w:rsidRPr="003C18B5" w:rsidTr="005742D4">
        <w:trPr>
          <w:trHeight w:val="261"/>
        </w:trPr>
        <w:tc>
          <w:tcPr>
            <w:tcW w:w="9606" w:type="dxa"/>
            <w:shd w:val="clear" w:color="auto" w:fill="D9D9D9" w:themeFill="background1" w:themeFillShade="D9"/>
            <w:vAlign w:val="bottom"/>
          </w:tcPr>
          <w:p w:rsidR="00090299" w:rsidRPr="003C18B5" w:rsidRDefault="00090299" w:rsidP="00090299">
            <w:pPr>
              <w:spacing w:after="0"/>
              <w:rPr>
                <w:rFonts w:ascii="Arial" w:hAnsi="Arial" w:cs="Arial"/>
                <w:b/>
              </w:rPr>
            </w:pPr>
            <w:r w:rsidRPr="003C18B5">
              <w:rPr>
                <w:rFonts w:ascii="Arial" w:hAnsi="Arial" w:cs="Arial"/>
                <w:b/>
              </w:rPr>
              <w:t>1</w:t>
            </w:r>
            <w:r w:rsidR="00F00B81" w:rsidRPr="003C18B5">
              <w:rPr>
                <w:rFonts w:ascii="Arial" w:hAnsi="Arial" w:cs="Arial"/>
                <w:b/>
              </w:rPr>
              <w:t>4</w:t>
            </w:r>
            <w:r w:rsidRPr="003C18B5">
              <w:rPr>
                <w:rFonts w:ascii="Arial" w:hAnsi="Arial" w:cs="Arial"/>
                <w:b/>
              </w:rPr>
              <w:t xml:space="preserve">. CRONOGRAMA DE ACTIVIDADES POR OBJETIVOS ESPECÍFICOS </w:t>
            </w:r>
            <w:r w:rsidR="00F877AC">
              <w:rPr>
                <w:rFonts w:ascii="Arial" w:hAnsi="Arial" w:cs="Arial"/>
                <w:b/>
                <w:i/>
              </w:rPr>
              <w:t>(SI)</w:t>
            </w:r>
          </w:p>
          <w:p w:rsidR="00F854EB" w:rsidRPr="003C18B5" w:rsidRDefault="00F854EB" w:rsidP="00835BDF">
            <w:pPr>
              <w:spacing w:after="0"/>
              <w:rPr>
                <w:rFonts w:ascii="Arial" w:hAnsi="Arial" w:cs="Arial"/>
                <w:i/>
              </w:rPr>
            </w:pPr>
            <w:r w:rsidRPr="003C18B5">
              <w:rPr>
                <w:rFonts w:ascii="Arial" w:hAnsi="Arial" w:cs="Arial"/>
                <w:i/>
              </w:rPr>
              <w:t xml:space="preserve">Se requiere descargar el archivo de </w:t>
            </w:r>
            <w:r w:rsidR="0078158F" w:rsidRPr="003C18B5">
              <w:rPr>
                <w:rFonts w:ascii="Arial" w:hAnsi="Arial" w:cs="Arial"/>
                <w:i/>
              </w:rPr>
              <w:t>Excel</w:t>
            </w:r>
            <w:r w:rsidRPr="003C18B5">
              <w:rPr>
                <w:rFonts w:ascii="Arial" w:hAnsi="Arial" w:cs="Arial"/>
                <w:i/>
              </w:rPr>
              <w:t>, guardarlo en su computador y llenar la información requerida; una vez guardado subir el archivo en la opción Cargar Cronograma</w:t>
            </w:r>
          </w:p>
        </w:tc>
      </w:tr>
    </w:tbl>
    <w:p w:rsidR="00323077" w:rsidRPr="003C18B5" w:rsidRDefault="00323077" w:rsidP="00F635FC">
      <w:pPr>
        <w:rPr>
          <w:rFonts w:ascii="Arial" w:hAnsi="Arial" w:cs="Arial"/>
          <w:b/>
        </w:rPr>
      </w:pPr>
    </w:p>
    <w:p w:rsidR="00704508" w:rsidRPr="003C18B5" w:rsidRDefault="00704508" w:rsidP="00F635FC">
      <w:pPr>
        <w:rPr>
          <w:rFonts w:ascii="Arial" w:hAnsi="Arial" w:cs="Arial"/>
          <w:b/>
        </w:rPr>
      </w:pPr>
    </w:p>
    <w:tbl>
      <w:tblPr>
        <w:tblStyle w:val="Tablaconcuadrcula"/>
        <w:tblW w:w="9606" w:type="dxa"/>
        <w:tblLayout w:type="fixed"/>
        <w:tblLook w:val="04A0"/>
      </w:tblPr>
      <w:tblGrid>
        <w:gridCol w:w="9606"/>
      </w:tblGrid>
      <w:tr w:rsidR="00704508" w:rsidRPr="003C18B5" w:rsidTr="005742D4">
        <w:trPr>
          <w:trHeight w:val="261"/>
        </w:trPr>
        <w:tc>
          <w:tcPr>
            <w:tcW w:w="9606" w:type="dxa"/>
            <w:shd w:val="clear" w:color="auto" w:fill="D9D9D9" w:themeFill="background1" w:themeFillShade="D9"/>
            <w:vAlign w:val="bottom"/>
          </w:tcPr>
          <w:p w:rsidR="00704508" w:rsidRPr="003C18B5" w:rsidRDefault="00704508" w:rsidP="00B933B8">
            <w:pPr>
              <w:spacing w:after="0"/>
              <w:rPr>
                <w:rFonts w:ascii="Arial" w:hAnsi="Arial" w:cs="Arial"/>
                <w:b/>
              </w:rPr>
            </w:pPr>
            <w:r w:rsidRPr="003C18B5">
              <w:rPr>
                <w:rFonts w:ascii="Arial" w:hAnsi="Arial" w:cs="Arial"/>
                <w:b/>
              </w:rPr>
              <w:t>1</w:t>
            </w:r>
            <w:r w:rsidR="00F00B81" w:rsidRPr="003C18B5">
              <w:rPr>
                <w:rFonts w:ascii="Arial" w:hAnsi="Arial" w:cs="Arial"/>
                <w:b/>
              </w:rPr>
              <w:t>5</w:t>
            </w:r>
            <w:r w:rsidRPr="003C18B5">
              <w:rPr>
                <w:rFonts w:ascii="Arial" w:hAnsi="Arial" w:cs="Arial"/>
                <w:b/>
              </w:rPr>
              <w:t xml:space="preserve">. </w:t>
            </w:r>
            <w:r w:rsidR="00B933B8" w:rsidRPr="003C18B5">
              <w:rPr>
                <w:rFonts w:ascii="Arial" w:hAnsi="Arial" w:cs="Arial"/>
                <w:b/>
              </w:rPr>
              <w:t>PRESUPUESTO</w:t>
            </w:r>
            <w:r w:rsidR="00F877AC">
              <w:rPr>
                <w:rFonts w:ascii="Arial" w:hAnsi="Arial" w:cs="Arial"/>
                <w:b/>
              </w:rPr>
              <w:t xml:space="preserve"> </w:t>
            </w:r>
            <w:r w:rsidR="00F877AC">
              <w:rPr>
                <w:rFonts w:ascii="Arial" w:hAnsi="Arial" w:cs="Arial"/>
                <w:b/>
                <w:i/>
              </w:rPr>
              <w:t>(SI)</w:t>
            </w:r>
          </w:p>
          <w:p w:rsidR="0017720F" w:rsidRPr="003C18B5" w:rsidRDefault="00207C6C" w:rsidP="0017720F">
            <w:pPr>
              <w:rPr>
                <w:rFonts w:ascii="Arial" w:hAnsi="Arial" w:cs="Arial"/>
              </w:rPr>
            </w:pPr>
            <w:r w:rsidRPr="003C18B5">
              <w:rPr>
                <w:rFonts w:ascii="Arial" w:hAnsi="Arial" w:cs="Arial"/>
                <w:i/>
              </w:rPr>
              <w:t xml:space="preserve">Se requiere descargar el archivo de </w:t>
            </w:r>
            <w:r w:rsidR="00AD3B05" w:rsidRPr="003C18B5">
              <w:rPr>
                <w:rFonts w:ascii="Arial" w:hAnsi="Arial" w:cs="Arial"/>
                <w:i/>
              </w:rPr>
              <w:t>Excel</w:t>
            </w:r>
            <w:r w:rsidRPr="003C18B5">
              <w:rPr>
                <w:rFonts w:ascii="Arial" w:hAnsi="Arial" w:cs="Arial"/>
                <w:i/>
              </w:rPr>
              <w:t>, guardarlo en su computador y llenar la información requerida; una vez guardado subir el archivo en la opción Cargar Presupuesto</w:t>
            </w:r>
          </w:p>
          <w:p w:rsidR="0017720F" w:rsidRPr="003C18B5" w:rsidRDefault="0017720F" w:rsidP="0017720F">
            <w:pPr>
              <w:rPr>
                <w:rFonts w:ascii="Arial" w:hAnsi="Arial" w:cs="Arial"/>
              </w:rPr>
            </w:pPr>
            <w:r w:rsidRPr="003C18B5">
              <w:rPr>
                <w:rFonts w:ascii="Arial" w:hAnsi="Arial" w:cs="Arial"/>
              </w:rPr>
              <w:t xml:space="preserve">Nota: el valor del presupuesto en ningún </w:t>
            </w:r>
            <w:r w:rsidR="00AE76C9" w:rsidRPr="003C18B5">
              <w:rPr>
                <w:rFonts w:ascii="Arial" w:hAnsi="Arial" w:cs="Arial"/>
              </w:rPr>
              <w:t>caso podrá</w:t>
            </w:r>
            <w:r w:rsidRPr="003C18B5">
              <w:rPr>
                <w:rFonts w:ascii="Arial" w:hAnsi="Arial" w:cs="Arial"/>
              </w:rPr>
              <w:t xml:space="preserve"> exceder de 3.000,00 dólares en fondos de universidad; con fondos propios es indeterminado.</w:t>
            </w:r>
          </w:p>
          <w:p w:rsidR="00207C6C" w:rsidRPr="003C18B5" w:rsidRDefault="00207C6C" w:rsidP="0001221D">
            <w:pPr>
              <w:spacing w:after="0"/>
              <w:rPr>
                <w:rFonts w:ascii="Arial" w:hAnsi="Arial" w:cs="Arial"/>
                <w:i/>
              </w:rPr>
            </w:pPr>
          </w:p>
        </w:tc>
      </w:tr>
    </w:tbl>
    <w:p w:rsidR="00704508" w:rsidRPr="003C18B5" w:rsidRDefault="00704508" w:rsidP="00F635FC">
      <w:pPr>
        <w:rPr>
          <w:rFonts w:ascii="Arial" w:hAnsi="Arial" w:cs="Arial"/>
          <w:b/>
        </w:rPr>
      </w:pPr>
    </w:p>
    <w:tbl>
      <w:tblPr>
        <w:tblStyle w:val="Tablaconcuadrcula"/>
        <w:tblW w:w="9606" w:type="dxa"/>
        <w:tblLayout w:type="fixed"/>
        <w:tblLook w:val="04A0"/>
      </w:tblPr>
      <w:tblGrid>
        <w:gridCol w:w="9606"/>
      </w:tblGrid>
      <w:tr w:rsidR="00207C6C" w:rsidRPr="003C18B5" w:rsidTr="005742D4">
        <w:trPr>
          <w:trHeight w:val="261"/>
        </w:trPr>
        <w:tc>
          <w:tcPr>
            <w:tcW w:w="9606" w:type="dxa"/>
            <w:shd w:val="clear" w:color="auto" w:fill="D9D9D9" w:themeFill="background1" w:themeFillShade="D9"/>
            <w:vAlign w:val="bottom"/>
          </w:tcPr>
          <w:p w:rsidR="00207C6C" w:rsidRPr="003C18B5" w:rsidRDefault="00207C6C" w:rsidP="005742D4">
            <w:pPr>
              <w:spacing w:after="0"/>
              <w:rPr>
                <w:rFonts w:ascii="Arial" w:hAnsi="Arial" w:cs="Arial"/>
                <w:b/>
              </w:rPr>
            </w:pPr>
            <w:r w:rsidRPr="003C18B5">
              <w:rPr>
                <w:rFonts w:ascii="Arial" w:hAnsi="Arial" w:cs="Arial"/>
                <w:b/>
              </w:rPr>
              <w:t>1</w:t>
            </w:r>
            <w:r w:rsidR="00C74E2D" w:rsidRPr="003C18B5">
              <w:rPr>
                <w:rFonts w:ascii="Arial" w:hAnsi="Arial" w:cs="Arial"/>
                <w:b/>
              </w:rPr>
              <w:t>5</w:t>
            </w:r>
            <w:r w:rsidRPr="003C18B5">
              <w:rPr>
                <w:rFonts w:ascii="Arial" w:hAnsi="Arial" w:cs="Arial"/>
                <w:b/>
              </w:rPr>
              <w:t>. ANEXOS</w:t>
            </w:r>
            <w:r w:rsidR="00556459" w:rsidRPr="003C18B5">
              <w:rPr>
                <w:rFonts w:ascii="Arial" w:hAnsi="Arial" w:cs="Arial"/>
                <w:b/>
              </w:rPr>
              <w:t xml:space="preserve">  (Adjunte)</w:t>
            </w:r>
          </w:p>
          <w:p w:rsidR="00556459" w:rsidRPr="003C18B5" w:rsidRDefault="00556459" w:rsidP="00911F70">
            <w:pPr>
              <w:spacing w:after="0"/>
              <w:rPr>
                <w:rFonts w:ascii="Arial" w:hAnsi="Arial" w:cs="Arial"/>
                <w:b/>
                <w:i/>
              </w:rPr>
            </w:pPr>
            <w:r w:rsidRPr="003C18B5">
              <w:rPr>
                <w:rFonts w:ascii="Arial" w:hAnsi="Arial" w:cs="Arial"/>
                <w:i/>
              </w:rPr>
              <w:br/>
            </w:r>
            <w:r w:rsidRPr="003C18B5">
              <w:rPr>
                <w:rFonts w:ascii="Arial" w:hAnsi="Arial" w:cs="Arial"/>
                <w:b/>
                <w:i/>
              </w:rPr>
              <w:t>Anexo 1:</w:t>
            </w:r>
            <w:r w:rsidR="00F877AC">
              <w:rPr>
                <w:rFonts w:ascii="Arial" w:hAnsi="Arial" w:cs="Arial"/>
                <w:b/>
                <w:i/>
              </w:rPr>
              <w:t xml:space="preserve"> (SI)</w:t>
            </w:r>
          </w:p>
          <w:p w:rsidR="00911F70" w:rsidRPr="003C18B5" w:rsidRDefault="00556459" w:rsidP="00911F70">
            <w:pPr>
              <w:spacing w:after="0"/>
              <w:rPr>
                <w:rFonts w:ascii="Arial" w:hAnsi="Arial" w:cs="Arial"/>
                <w:i/>
              </w:rPr>
            </w:pPr>
            <w:r w:rsidRPr="003C18B5">
              <w:rPr>
                <w:rFonts w:ascii="Arial" w:hAnsi="Arial" w:cs="Arial"/>
                <w:b/>
                <w:i/>
              </w:rPr>
              <w:t xml:space="preserve">- </w:t>
            </w:r>
            <w:r w:rsidR="00207C6C" w:rsidRPr="003C18B5">
              <w:rPr>
                <w:rFonts w:ascii="Arial" w:hAnsi="Arial" w:cs="Arial"/>
                <w:i/>
              </w:rPr>
              <w:t>Formulario</w:t>
            </w:r>
            <w:r w:rsidRPr="003C18B5">
              <w:rPr>
                <w:rFonts w:ascii="Arial" w:hAnsi="Arial" w:cs="Arial"/>
                <w:i/>
              </w:rPr>
              <w:t xml:space="preserve"> (s</w:t>
            </w:r>
            <w:r w:rsidR="00AE76C9" w:rsidRPr="003C18B5">
              <w:rPr>
                <w:rFonts w:ascii="Arial" w:hAnsi="Arial" w:cs="Arial"/>
                <w:i/>
              </w:rPr>
              <w:t xml:space="preserve">) de </w:t>
            </w:r>
            <w:r w:rsidR="00207C6C" w:rsidRPr="003C18B5">
              <w:rPr>
                <w:rFonts w:ascii="Arial" w:hAnsi="Arial" w:cs="Arial"/>
                <w:i/>
              </w:rPr>
              <w:t>investigación</w:t>
            </w:r>
            <w:r w:rsidR="00911F70" w:rsidRPr="003C18B5">
              <w:rPr>
                <w:rFonts w:ascii="Arial" w:hAnsi="Arial" w:cs="Arial"/>
                <w:i/>
              </w:rPr>
              <w:t xml:space="preserve"> (Es el formulario donde se registrarán los datos).</w:t>
            </w:r>
          </w:p>
          <w:p w:rsidR="00911F70" w:rsidRPr="003C18B5" w:rsidRDefault="00911F70" w:rsidP="00911F70">
            <w:pPr>
              <w:spacing w:after="0"/>
              <w:rPr>
                <w:rFonts w:ascii="Arial" w:hAnsi="Arial" w:cs="Arial"/>
                <w:i/>
              </w:rPr>
            </w:pPr>
            <w:r w:rsidRPr="003C18B5">
              <w:rPr>
                <w:rFonts w:ascii="Arial" w:hAnsi="Arial" w:cs="Arial"/>
                <w:i/>
              </w:rPr>
              <w:t>- F</w:t>
            </w:r>
            <w:r w:rsidR="00556459" w:rsidRPr="003C18B5">
              <w:rPr>
                <w:rFonts w:ascii="Arial" w:hAnsi="Arial" w:cs="Arial"/>
                <w:i/>
              </w:rPr>
              <w:t xml:space="preserve">ormulario (s) de </w:t>
            </w:r>
            <w:r w:rsidR="00207C6C" w:rsidRPr="003C18B5">
              <w:rPr>
                <w:rFonts w:ascii="Arial" w:hAnsi="Arial" w:cs="Arial"/>
                <w:i/>
              </w:rPr>
              <w:t>en</w:t>
            </w:r>
            <w:r w:rsidRPr="003C18B5">
              <w:rPr>
                <w:rFonts w:ascii="Arial" w:hAnsi="Arial" w:cs="Arial"/>
                <w:i/>
              </w:rPr>
              <w:t>cuesta (Debe incluir todas las preguntas que desea hacer)</w:t>
            </w:r>
          </w:p>
          <w:p w:rsidR="00556459" w:rsidRPr="003C18B5" w:rsidRDefault="00556459" w:rsidP="00911F70">
            <w:pPr>
              <w:spacing w:after="0"/>
              <w:rPr>
                <w:rFonts w:ascii="Arial" w:hAnsi="Arial" w:cs="Arial"/>
                <w:i/>
              </w:rPr>
            </w:pPr>
            <w:r w:rsidRPr="003C18B5">
              <w:rPr>
                <w:rFonts w:ascii="Arial" w:hAnsi="Arial" w:cs="Arial"/>
                <w:b/>
                <w:i/>
              </w:rPr>
              <w:t>Anexo 2:</w:t>
            </w:r>
          </w:p>
          <w:p w:rsidR="00C71205" w:rsidRPr="003C18B5" w:rsidRDefault="00C71205" w:rsidP="00C71205">
            <w:pPr>
              <w:spacing w:after="0"/>
              <w:rPr>
                <w:rFonts w:ascii="Arial" w:hAnsi="Arial" w:cs="Arial"/>
                <w:i/>
              </w:rPr>
            </w:pPr>
            <w:r w:rsidRPr="003C18B5">
              <w:rPr>
                <w:rFonts w:ascii="Arial" w:hAnsi="Arial" w:cs="Arial"/>
                <w:i/>
              </w:rPr>
              <w:t xml:space="preserve">Consentimiento informado: </w:t>
            </w:r>
            <w:r w:rsidR="00EE376C" w:rsidRPr="003C18B5">
              <w:rPr>
                <w:rFonts w:ascii="Arial" w:hAnsi="Arial" w:cs="Arial"/>
                <w:i/>
              </w:rPr>
              <w:t xml:space="preserve">Solo si la </w:t>
            </w:r>
            <w:r w:rsidR="00C830FD" w:rsidRPr="003C18B5">
              <w:rPr>
                <w:rFonts w:ascii="Arial" w:hAnsi="Arial" w:cs="Arial"/>
                <w:i/>
              </w:rPr>
              <w:t>investigación es en seres human</w:t>
            </w:r>
            <w:r w:rsidR="00AD3B05" w:rsidRPr="003C18B5">
              <w:rPr>
                <w:rFonts w:ascii="Arial" w:hAnsi="Arial" w:cs="Arial"/>
                <w:i/>
              </w:rPr>
              <w:t xml:space="preserve">os, utilice los formatos </w:t>
            </w:r>
            <w:r w:rsidR="00EE376C" w:rsidRPr="003C18B5">
              <w:rPr>
                <w:rFonts w:ascii="Arial" w:hAnsi="Arial" w:cs="Arial"/>
                <w:i/>
              </w:rPr>
              <w:t>del Subcomité de Ética de la Investigación en Seres humanos</w:t>
            </w:r>
            <w:r w:rsidR="00C830FD" w:rsidRPr="003C18B5">
              <w:rPr>
                <w:rFonts w:ascii="Arial" w:hAnsi="Arial" w:cs="Arial"/>
                <w:i/>
              </w:rPr>
              <w:t xml:space="preserve"> para </w:t>
            </w:r>
            <w:r w:rsidRPr="003C18B5">
              <w:rPr>
                <w:rFonts w:ascii="Arial" w:hAnsi="Arial" w:cs="Arial"/>
                <w:i/>
              </w:rPr>
              <w:t xml:space="preserve">mayores y/o menores de </w:t>
            </w:r>
            <w:r w:rsidR="00897ECC" w:rsidRPr="003C18B5">
              <w:rPr>
                <w:rFonts w:ascii="Arial" w:hAnsi="Arial" w:cs="Arial"/>
                <w:i/>
              </w:rPr>
              <w:t>edad</w:t>
            </w:r>
            <w:r w:rsidR="00AD3B05" w:rsidRPr="003C18B5">
              <w:rPr>
                <w:rFonts w:ascii="Arial" w:hAnsi="Arial" w:cs="Arial"/>
              </w:rPr>
              <w:t>.</w:t>
            </w:r>
          </w:p>
          <w:p w:rsidR="00556459" w:rsidRPr="003C18B5" w:rsidRDefault="00556459" w:rsidP="00556459">
            <w:pPr>
              <w:spacing w:after="0"/>
              <w:rPr>
                <w:rFonts w:ascii="Arial" w:hAnsi="Arial" w:cs="Arial"/>
                <w:i/>
              </w:rPr>
            </w:pPr>
            <w:r w:rsidRPr="003C18B5">
              <w:rPr>
                <w:rFonts w:ascii="Arial" w:hAnsi="Arial" w:cs="Arial"/>
                <w:b/>
                <w:i/>
              </w:rPr>
              <w:t>Anexo 3:</w:t>
            </w:r>
          </w:p>
          <w:p w:rsidR="00556459" w:rsidRPr="003C18B5" w:rsidRDefault="00556459" w:rsidP="00556459">
            <w:pPr>
              <w:spacing w:after="0"/>
              <w:rPr>
                <w:rFonts w:ascii="Arial" w:hAnsi="Arial" w:cs="Arial"/>
              </w:rPr>
            </w:pPr>
            <w:r w:rsidRPr="003C18B5">
              <w:rPr>
                <w:rFonts w:ascii="Arial" w:hAnsi="Arial" w:cs="Arial"/>
                <w:i/>
              </w:rPr>
              <w:t>Cartas de autorización (Solo si la investigación amerita</w:t>
            </w:r>
            <w:r w:rsidR="00AD3B05" w:rsidRPr="003C18B5">
              <w:rPr>
                <w:rFonts w:ascii="Arial" w:hAnsi="Arial" w:cs="Arial"/>
                <w:i/>
              </w:rPr>
              <w:t>,</w:t>
            </w:r>
            <w:r w:rsidR="001D650F" w:rsidRPr="003C18B5">
              <w:rPr>
                <w:rFonts w:ascii="Arial" w:hAnsi="Arial" w:cs="Arial"/>
                <w:i/>
              </w:rPr>
              <w:t xml:space="preserve"> </w:t>
            </w:r>
            <w:r w:rsidR="00AD3B05" w:rsidRPr="003C18B5">
              <w:rPr>
                <w:rFonts w:ascii="Arial" w:hAnsi="Arial" w:cs="Arial"/>
                <w:i/>
              </w:rPr>
              <w:t>es la</w:t>
            </w:r>
            <w:r w:rsidR="009A2BAD" w:rsidRPr="003C18B5">
              <w:rPr>
                <w:rFonts w:ascii="Arial" w:hAnsi="Arial" w:cs="Arial"/>
                <w:i/>
              </w:rPr>
              <w:t xml:space="preserve"> c</w:t>
            </w:r>
            <w:r w:rsidR="005C5871" w:rsidRPr="003C18B5">
              <w:rPr>
                <w:rFonts w:ascii="Arial" w:hAnsi="Arial" w:cs="Arial"/>
                <w:i/>
              </w:rPr>
              <w:t>arta de autorización</w:t>
            </w:r>
            <w:r w:rsidR="001D650F" w:rsidRPr="003C18B5">
              <w:rPr>
                <w:rFonts w:ascii="Arial" w:hAnsi="Arial" w:cs="Arial"/>
                <w:i/>
              </w:rPr>
              <w:t xml:space="preserve"> </w:t>
            </w:r>
            <w:r w:rsidR="0014566B" w:rsidRPr="003C18B5">
              <w:rPr>
                <w:rFonts w:ascii="Arial" w:hAnsi="Arial" w:cs="Arial"/>
                <w:i/>
              </w:rPr>
              <w:t xml:space="preserve">de </w:t>
            </w:r>
            <w:r w:rsidRPr="003C18B5">
              <w:rPr>
                <w:rFonts w:ascii="Arial" w:hAnsi="Arial" w:cs="Arial"/>
                <w:i/>
              </w:rPr>
              <w:t>los directivos</w:t>
            </w:r>
            <w:r w:rsidR="005C5871" w:rsidRPr="003C18B5">
              <w:rPr>
                <w:rFonts w:ascii="Arial" w:hAnsi="Arial" w:cs="Arial"/>
                <w:i/>
              </w:rPr>
              <w:t xml:space="preserve"> de</w:t>
            </w:r>
            <w:r w:rsidR="001D650F" w:rsidRPr="003C18B5">
              <w:rPr>
                <w:rFonts w:ascii="Arial" w:hAnsi="Arial" w:cs="Arial"/>
                <w:i/>
              </w:rPr>
              <w:t xml:space="preserve"> </w:t>
            </w:r>
            <w:r w:rsidRPr="003C18B5">
              <w:rPr>
                <w:rFonts w:ascii="Arial" w:hAnsi="Arial" w:cs="Arial"/>
                <w:i/>
              </w:rPr>
              <w:t>las instituciones en las que la investigación se realizará)</w:t>
            </w:r>
            <w:r w:rsidR="003B55AB" w:rsidRPr="003C18B5">
              <w:rPr>
                <w:rFonts w:ascii="Arial" w:hAnsi="Arial" w:cs="Arial"/>
                <w:i/>
              </w:rPr>
              <w:t>.</w:t>
            </w:r>
          </w:p>
          <w:p w:rsidR="00E72AD7" w:rsidRPr="003C18B5" w:rsidRDefault="00E72AD7" w:rsidP="00E72AD7">
            <w:pPr>
              <w:spacing w:after="0"/>
              <w:rPr>
                <w:rFonts w:ascii="Arial" w:hAnsi="Arial" w:cs="Arial"/>
                <w:i/>
              </w:rPr>
            </w:pPr>
            <w:r w:rsidRPr="003C18B5">
              <w:rPr>
                <w:rFonts w:ascii="Arial" w:hAnsi="Arial" w:cs="Arial"/>
                <w:b/>
                <w:i/>
              </w:rPr>
              <w:t>Anexo 4:</w:t>
            </w:r>
            <w:r w:rsidR="00F877AC">
              <w:rPr>
                <w:rFonts w:ascii="Arial" w:hAnsi="Arial" w:cs="Arial"/>
                <w:b/>
                <w:i/>
              </w:rPr>
              <w:t xml:space="preserve"> (SI)</w:t>
            </w:r>
          </w:p>
          <w:p w:rsidR="00911F70" w:rsidRPr="003C18B5" w:rsidRDefault="00E72AD7" w:rsidP="00911F70">
            <w:pPr>
              <w:spacing w:after="0"/>
              <w:rPr>
                <w:rFonts w:ascii="Arial" w:hAnsi="Arial" w:cs="Arial"/>
                <w:i/>
              </w:rPr>
            </w:pPr>
            <w:r w:rsidRPr="003C18B5">
              <w:rPr>
                <w:rFonts w:ascii="Arial" w:hAnsi="Arial" w:cs="Arial"/>
                <w:i/>
              </w:rPr>
              <w:t>Conflicto de Intereses (Si hay entre los investigadores y casas comerciales, instituciones académicas)</w:t>
            </w:r>
            <w:r w:rsidR="003B55AB" w:rsidRPr="003C18B5">
              <w:rPr>
                <w:rFonts w:ascii="Arial" w:hAnsi="Arial" w:cs="Arial"/>
                <w:i/>
              </w:rPr>
              <w:t>.</w:t>
            </w:r>
          </w:p>
          <w:p w:rsidR="00897ECC" w:rsidRPr="003C18B5" w:rsidRDefault="00E72AD7" w:rsidP="00E72AD7">
            <w:pPr>
              <w:spacing w:after="0"/>
              <w:rPr>
                <w:rFonts w:ascii="Arial" w:hAnsi="Arial" w:cs="Arial"/>
                <w:i/>
              </w:rPr>
            </w:pPr>
            <w:r w:rsidRPr="003C18B5">
              <w:rPr>
                <w:rFonts w:ascii="Arial" w:hAnsi="Arial" w:cs="Arial"/>
                <w:b/>
                <w:i/>
              </w:rPr>
              <w:t>Anexo 5:</w:t>
            </w:r>
            <w:r w:rsidR="00F877AC">
              <w:rPr>
                <w:rFonts w:ascii="Arial" w:hAnsi="Arial" w:cs="Arial"/>
                <w:b/>
                <w:i/>
              </w:rPr>
              <w:t xml:space="preserve"> (SI) </w:t>
            </w:r>
          </w:p>
          <w:p w:rsidR="00E72AD7" w:rsidRPr="003C18B5" w:rsidRDefault="009A2BAD" w:rsidP="00E72AD7">
            <w:pPr>
              <w:spacing w:after="0"/>
              <w:rPr>
                <w:rFonts w:ascii="Arial" w:hAnsi="Arial" w:cs="Arial"/>
              </w:rPr>
            </w:pPr>
            <w:r w:rsidRPr="003C18B5">
              <w:rPr>
                <w:rFonts w:ascii="Arial" w:hAnsi="Arial" w:cs="Arial"/>
                <w:i/>
              </w:rPr>
              <w:t>Declaración de confidencialidad</w:t>
            </w:r>
            <w:r w:rsidR="00B37721" w:rsidRPr="003C18B5">
              <w:rPr>
                <w:rFonts w:ascii="Arial" w:hAnsi="Arial" w:cs="Arial"/>
                <w:b/>
                <w:bCs/>
                <w:color w:val="000000"/>
              </w:rPr>
              <w:t>.</w:t>
            </w:r>
          </w:p>
          <w:p w:rsidR="00E72AD7" w:rsidRPr="003C18B5" w:rsidRDefault="00E72AD7" w:rsidP="00911F70">
            <w:pPr>
              <w:spacing w:after="0"/>
              <w:rPr>
                <w:rFonts w:ascii="Arial" w:hAnsi="Arial" w:cs="Arial"/>
              </w:rPr>
            </w:pPr>
          </w:p>
          <w:p w:rsidR="00207C6C" w:rsidRPr="003C18B5" w:rsidRDefault="00207C6C" w:rsidP="00911F70">
            <w:pPr>
              <w:spacing w:after="0"/>
              <w:rPr>
                <w:rFonts w:ascii="Arial" w:hAnsi="Arial" w:cs="Arial"/>
                <w:i/>
              </w:rPr>
            </w:pPr>
          </w:p>
        </w:tc>
      </w:tr>
    </w:tbl>
    <w:p w:rsidR="006B7DC6" w:rsidRPr="003C18B5" w:rsidRDefault="006B7DC6" w:rsidP="00F635FC">
      <w:pPr>
        <w:rPr>
          <w:rFonts w:ascii="Arial" w:hAnsi="Arial" w:cs="Arial"/>
          <w:b/>
        </w:rPr>
      </w:pPr>
    </w:p>
    <w:p w:rsidR="00F635FC" w:rsidRPr="003C18B5" w:rsidRDefault="00F635FC" w:rsidP="00911F70">
      <w:pPr>
        <w:rPr>
          <w:rFonts w:ascii="Arial" w:hAnsi="Arial" w:cs="Arial"/>
          <w:i/>
          <w:color w:val="808080" w:themeColor="background1" w:themeShade="80"/>
        </w:rPr>
      </w:pPr>
    </w:p>
    <w:sectPr w:rsidR="00F635FC" w:rsidRPr="003C18B5" w:rsidSect="00F36CDC">
      <w:pgSz w:w="12240" w:h="15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C73" w:rsidRDefault="00E05C73" w:rsidP="006A14C7">
      <w:pPr>
        <w:spacing w:after="0"/>
      </w:pPr>
      <w:r>
        <w:separator/>
      </w:r>
    </w:p>
  </w:endnote>
  <w:endnote w:type="continuationSeparator" w:id="1">
    <w:p w:rsidR="00E05C73" w:rsidRDefault="00E05C73" w:rsidP="006A14C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C73" w:rsidRDefault="00E05C73" w:rsidP="006A14C7">
      <w:pPr>
        <w:spacing w:after="0"/>
      </w:pPr>
      <w:r>
        <w:separator/>
      </w:r>
    </w:p>
  </w:footnote>
  <w:footnote w:type="continuationSeparator" w:id="1">
    <w:p w:rsidR="00E05C73" w:rsidRDefault="00E05C73" w:rsidP="006A14C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AB7"/>
    <w:multiLevelType w:val="multilevel"/>
    <w:tmpl w:val="80C483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53F77C9"/>
    <w:multiLevelType w:val="multilevel"/>
    <w:tmpl w:val="CDD4EDB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172CDB"/>
    <w:multiLevelType w:val="hybridMultilevel"/>
    <w:tmpl w:val="424E2E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D054E78"/>
    <w:multiLevelType w:val="hybridMultilevel"/>
    <w:tmpl w:val="CC4874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DCF0C72"/>
    <w:multiLevelType w:val="hybridMultilevel"/>
    <w:tmpl w:val="D8BA0CD4"/>
    <w:lvl w:ilvl="0" w:tplc="C574A89C">
      <w:start w:val="12"/>
      <w:numFmt w:val="bullet"/>
      <w:lvlText w:val="-"/>
      <w:lvlJc w:val="left"/>
      <w:pPr>
        <w:ind w:left="720" w:hanging="360"/>
      </w:pPr>
      <w:rPr>
        <w:rFonts w:ascii="Arial" w:eastAsia="Calibr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34CC300E"/>
    <w:multiLevelType w:val="hybridMultilevel"/>
    <w:tmpl w:val="1DF004F4"/>
    <w:lvl w:ilvl="0" w:tplc="056AF4D4">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35621D7E"/>
    <w:multiLevelType w:val="hybridMultilevel"/>
    <w:tmpl w:val="20C0D408"/>
    <w:lvl w:ilvl="0" w:tplc="200A000F">
      <w:start w:val="1"/>
      <w:numFmt w:val="decimal"/>
      <w:lvlText w:val="%1."/>
      <w:lvlJc w:val="left"/>
      <w:pPr>
        <w:ind w:left="360" w:hanging="360"/>
      </w:pPr>
      <w:rPr>
        <w:rFonts w:cs="Times New Roman" w:hint="default"/>
      </w:rPr>
    </w:lvl>
    <w:lvl w:ilvl="1" w:tplc="200A0019" w:tentative="1">
      <w:start w:val="1"/>
      <w:numFmt w:val="lowerLetter"/>
      <w:lvlText w:val="%2."/>
      <w:lvlJc w:val="left"/>
      <w:pPr>
        <w:ind w:left="1440" w:hanging="360"/>
      </w:pPr>
      <w:rPr>
        <w:rFonts w:cs="Times New Roman"/>
      </w:rPr>
    </w:lvl>
    <w:lvl w:ilvl="2" w:tplc="200A001B" w:tentative="1">
      <w:start w:val="1"/>
      <w:numFmt w:val="lowerRoman"/>
      <w:lvlText w:val="%3."/>
      <w:lvlJc w:val="right"/>
      <w:pPr>
        <w:ind w:left="2160" w:hanging="180"/>
      </w:pPr>
      <w:rPr>
        <w:rFonts w:cs="Times New Roman"/>
      </w:rPr>
    </w:lvl>
    <w:lvl w:ilvl="3" w:tplc="200A000F" w:tentative="1">
      <w:start w:val="1"/>
      <w:numFmt w:val="decimal"/>
      <w:lvlText w:val="%4."/>
      <w:lvlJc w:val="left"/>
      <w:pPr>
        <w:ind w:left="2880" w:hanging="360"/>
      </w:pPr>
      <w:rPr>
        <w:rFonts w:cs="Times New Roman"/>
      </w:rPr>
    </w:lvl>
    <w:lvl w:ilvl="4" w:tplc="200A0019" w:tentative="1">
      <w:start w:val="1"/>
      <w:numFmt w:val="lowerLetter"/>
      <w:lvlText w:val="%5."/>
      <w:lvlJc w:val="left"/>
      <w:pPr>
        <w:ind w:left="3600" w:hanging="360"/>
      </w:pPr>
      <w:rPr>
        <w:rFonts w:cs="Times New Roman"/>
      </w:rPr>
    </w:lvl>
    <w:lvl w:ilvl="5" w:tplc="200A001B" w:tentative="1">
      <w:start w:val="1"/>
      <w:numFmt w:val="lowerRoman"/>
      <w:lvlText w:val="%6."/>
      <w:lvlJc w:val="right"/>
      <w:pPr>
        <w:ind w:left="4320" w:hanging="180"/>
      </w:pPr>
      <w:rPr>
        <w:rFonts w:cs="Times New Roman"/>
      </w:rPr>
    </w:lvl>
    <w:lvl w:ilvl="6" w:tplc="200A000F" w:tentative="1">
      <w:start w:val="1"/>
      <w:numFmt w:val="decimal"/>
      <w:lvlText w:val="%7."/>
      <w:lvlJc w:val="left"/>
      <w:pPr>
        <w:ind w:left="5040" w:hanging="360"/>
      </w:pPr>
      <w:rPr>
        <w:rFonts w:cs="Times New Roman"/>
      </w:rPr>
    </w:lvl>
    <w:lvl w:ilvl="7" w:tplc="200A0019" w:tentative="1">
      <w:start w:val="1"/>
      <w:numFmt w:val="lowerLetter"/>
      <w:lvlText w:val="%8."/>
      <w:lvlJc w:val="left"/>
      <w:pPr>
        <w:ind w:left="5760" w:hanging="360"/>
      </w:pPr>
      <w:rPr>
        <w:rFonts w:cs="Times New Roman"/>
      </w:rPr>
    </w:lvl>
    <w:lvl w:ilvl="8" w:tplc="200A001B" w:tentative="1">
      <w:start w:val="1"/>
      <w:numFmt w:val="lowerRoman"/>
      <w:lvlText w:val="%9."/>
      <w:lvlJc w:val="right"/>
      <w:pPr>
        <w:ind w:left="6480" w:hanging="180"/>
      </w:pPr>
      <w:rPr>
        <w:rFonts w:cs="Times New Roman"/>
      </w:rPr>
    </w:lvl>
  </w:abstractNum>
  <w:abstractNum w:abstractNumId="7">
    <w:nsid w:val="3AA92212"/>
    <w:multiLevelType w:val="hybridMultilevel"/>
    <w:tmpl w:val="8D882452"/>
    <w:lvl w:ilvl="0" w:tplc="056AF4D4">
      <w:start w:val="1"/>
      <w:numFmt w:val="bullet"/>
      <w:lvlText w:val=""/>
      <w:lvlJc w:val="left"/>
      <w:pPr>
        <w:ind w:left="1050" w:hanging="360"/>
      </w:pPr>
      <w:rPr>
        <w:rFonts w:ascii="Symbol" w:hAnsi="Symbol" w:hint="default"/>
      </w:rPr>
    </w:lvl>
    <w:lvl w:ilvl="1" w:tplc="300A0003" w:tentative="1">
      <w:start w:val="1"/>
      <w:numFmt w:val="bullet"/>
      <w:lvlText w:val="o"/>
      <w:lvlJc w:val="left"/>
      <w:pPr>
        <w:ind w:left="1770" w:hanging="360"/>
      </w:pPr>
      <w:rPr>
        <w:rFonts w:ascii="Courier New" w:hAnsi="Courier New" w:cs="Courier New" w:hint="default"/>
      </w:rPr>
    </w:lvl>
    <w:lvl w:ilvl="2" w:tplc="300A0005" w:tentative="1">
      <w:start w:val="1"/>
      <w:numFmt w:val="bullet"/>
      <w:lvlText w:val=""/>
      <w:lvlJc w:val="left"/>
      <w:pPr>
        <w:ind w:left="2490" w:hanging="360"/>
      </w:pPr>
      <w:rPr>
        <w:rFonts w:ascii="Wingdings" w:hAnsi="Wingdings" w:hint="default"/>
      </w:rPr>
    </w:lvl>
    <w:lvl w:ilvl="3" w:tplc="300A0001" w:tentative="1">
      <w:start w:val="1"/>
      <w:numFmt w:val="bullet"/>
      <w:lvlText w:val=""/>
      <w:lvlJc w:val="left"/>
      <w:pPr>
        <w:ind w:left="3210" w:hanging="360"/>
      </w:pPr>
      <w:rPr>
        <w:rFonts w:ascii="Symbol" w:hAnsi="Symbol" w:hint="default"/>
      </w:rPr>
    </w:lvl>
    <w:lvl w:ilvl="4" w:tplc="300A0003" w:tentative="1">
      <w:start w:val="1"/>
      <w:numFmt w:val="bullet"/>
      <w:lvlText w:val="o"/>
      <w:lvlJc w:val="left"/>
      <w:pPr>
        <w:ind w:left="3930" w:hanging="360"/>
      </w:pPr>
      <w:rPr>
        <w:rFonts w:ascii="Courier New" w:hAnsi="Courier New" w:cs="Courier New" w:hint="default"/>
      </w:rPr>
    </w:lvl>
    <w:lvl w:ilvl="5" w:tplc="300A0005" w:tentative="1">
      <w:start w:val="1"/>
      <w:numFmt w:val="bullet"/>
      <w:lvlText w:val=""/>
      <w:lvlJc w:val="left"/>
      <w:pPr>
        <w:ind w:left="4650" w:hanging="360"/>
      </w:pPr>
      <w:rPr>
        <w:rFonts w:ascii="Wingdings" w:hAnsi="Wingdings" w:hint="default"/>
      </w:rPr>
    </w:lvl>
    <w:lvl w:ilvl="6" w:tplc="300A0001" w:tentative="1">
      <w:start w:val="1"/>
      <w:numFmt w:val="bullet"/>
      <w:lvlText w:val=""/>
      <w:lvlJc w:val="left"/>
      <w:pPr>
        <w:ind w:left="5370" w:hanging="360"/>
      </w:pPr>
      <w:rPr>
        <w:rFonts w:ascii="Symbol" w:hAnsi="Symbol" w:hint="default"/>
      </w:rPr>
    </w:lvl>
    <w:lvl w:ilvl="7" w:tplc="300A0003" w:tentative="1">
      <w:start w:val="1"/>
      <w:numFmt w:val="bullet"/>
      <w:lvlText w:val="o"/>
      <w:lvlJc w:val="left"/>
      <w:pPr>
        <w:ind w:left="6090" w:hanging="360"/>
      </w:pPr>
      <w:rPr>
        <w:rFonts w:ascii="Courier New" w:hAnsi="Courier New" w:cs="Courier New" w:hint="default"/>
      </w:rPr>
    </w:lvl>
    <w:lvl w:ilvl="8" w:tplc="300A0005" w:tentative="1">
      <w:start w:val="1"/>
      <w:numFmt w:val="bullet"/>
      <w:lvlText w:val=""/>
      <w:lvlJc w:val="left"/>
      <w:pPr>
        <w:ind w:left="6810" w:hanging="360"/>
      </w:pPr>
      <w:rPr>
        <w:rFonts w:ascii="Wingdings" w:hAnsi="Wingdings" w:hint="default"/>
      </w:rPr>
    </w:lvl>
  </w:abstractNum>
  <w:abstractNum w:abstractNumId="8">
    <w:nsid w:val="432D5B42"/>
    <w:multiLevelType w:val="multilevel"/>
    <w:tmpl w:val="A9466688"/>
    <w:lvl w:ilvl="0">
      <w:start w:val="1"/>
      <w:numFmt w:val="decimal"/>
      <w:lvlText w:val="%1."/>
      <w:lvlJc w:val="left"/>
      <w:pPr>
        <w:ind w:left="644"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nsid w:val="5D7935DD"/>
    <w:multiLevelType w:val="hybridMultilevel"/>
    <w:tmpl w:val="E238FA3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69163185"/>
    <w:multiLevelType w:val="multilevel"/>
    <w:tmpl w:val="05A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8E0287"/>
    <w:multiLevelType w:val="hybridMultilevel"/>
    <w:tmpl w:val="3B52350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6"/>
  </w:num>
  <w:num w:numId="5">
    <w:abstractNumId w:val="8"/>
  </w:num>
  <w:num w:numId="6">
    <w:abstractNumId w:val="11"/>
  </w:num>
  <w:num w:numId="7">
    <w:abstractNumId w:val="3"/>
  </w:num>
  <w:num w:numId="8">
    <w:abstractNumId w:val="1"/>
  </w:num>
  <w:num w:numId="9">
    <w:abstractNumId w:val="0"/>
  </w:num>
  <w:num w:numId="10">
    <w:abstractNumId w:val="5"/>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7B1CC4"/>
    <w:rsid w:val="000024AC"/>
    <w:rsid w:val="00003710"/>
    <w:rsid w:val="00006837"/>
    <w:rsid w:val="00007CC2"/>
    <w:rsid w:val="0001221D"/>
    <w:rsid w:val="00013B83"/>
    <w:rsid w:val="00016562"/>
    <w:rsid w:val="00016B1D"/>
    <w:rsid w:val="00022298"/>
    <w:rsid w:val="00032B15"/>
    <w:rsid w:val="00032BED"/>
    <w:rsid w:val="00040FC4"/>
    <w:rsid w:val="00047656"/>
    <w:rsid w:val="0005135F"/>
    <w:rsid w:val="00052EDC"/>
    <w:rsid w:val="00061459"/>
    <w:rsid w:val="000623CC"/>
    <w:rsid w:val="000678DD"/>
    <w:rsid w:val="00071F2A"/>
    <w:rsid w:val="0007453C"/>
    <w:rsid w:val="0007707A"/>
    <w:rsid w:val="000859D5"/>
    <w:rsid w:val="00090299"/>
    <w:rsid w:val="00093788"/>
    <w:rsid w:val="000942A0"/>
    <w:rsid w:val="000A71F4"/>
    <w:rsid w:val="000A79E5"/>
    <w:rsid w:val="000B423D"/>
    <w:rsid w:val="000B6A83"/>
    <w:rsid w:val="000C2591"/>
    <w:rsid w:val="000C4E75"/>
    <w:rsid w:val="000D0A97"/>
    <w:rsid w:val="000D0F9A"/>
    <w:rsid w:val="000D2915"/>
    <w:rsid w:val="000D6520"/>
    <w:rsid w:val="000E782B"/>
    <w:rsid w:val="000F071E"/>
    <w:rsid w:val="000F26DA"/>
    <w:rsid w:val="000F2964"/>
    <w:rsid w:val="000F6274"/>
    <w:rsid w:val="000F6CBF"/>
    <w:rsid w:val="00113099"/>
    <w:rsid w:val="00114D33"/>
    <w:rsid w:val="0011795C"/>
    <w:rsid w:val="00124BE5"/>
    <w:rsid w:val="00132EB9"/>
    <w:rsid w:val="001376B2"/>
    <w:rsid w:val="00143301"/>
    <w:rsid w:val="0014566B"/>
    <w:rsid w:val="00165AC3"/>
    <w:rsid w:val="0016656C"/>
    <w:rsid w:val="00171A59"/>
    <w:rsid w:val="001758BF"/>
    <w:rsid w:val="0017720F"/>
    <w:rsid w:val="001806E8"/>
    <w:rsid w:val="00181D9B"/>
    <w:rsid w:val="00182B6C"/>
    <w:rsid w:val="001925C0"/>
    <w:rsid w:val="001A2AD9"/>
    <w:rsid w:val="001A33A9"/>
    <w:rsid w:val="001A40AE"/>
    <w:rsid w:val="001A55A1"/>
    <w:rsid w:val="001B6450"/>
    <w:rsid w:val="001B760F"/>
    <w:rsid w:val="001C1EFF"/>
    <w:rsid w:val="001D650F"/>
    <w:rsid w:val="001F2270"/>
    <w:rsid w:val="001F6CDB"/>
    <w:rsid w:val="002048FF"/>
    <w:rsid w:val="002062F6"/>
    <w:rsid w:val="00207C6C"/>
    <w:rsid w:val="0021560C"/>
    <w:rsid w:val="00216836"/>
    <w:rsid w:val="00237E42"/>
    <w:rsid w:val="00251EE6"/>
    <w:rsid w:val="0025361F"/>
    <w:rsid w:val="00254D5C"/>
    <w:rsid w:val="00262CCF"/>
    <w:rsid w:val="00264B7B"/>
    <w:rsid w:val="00265773"/>
    <w:rsid w:val="00265B22"/>
    <w:rsid w:val="00267059"/>
    <w:rsid w:val="002757AD"/>
    <w:rsid w:val="00275A0D"/>
    <w:rsid w:val="002875E9"/>
    <w:rsid w:val="00292EA7"/>
    <w:rsid w:val="002954E6"/>
    <w:rsid w:val="00297CE4"/>
    <w:rsid w:val="002A0948"/>
    <w:rsid w:val="002A0CB1"/>
    <w:rsid w:val="002A3EF8"/>
    <w:rsid w:val="002A683B"/>
    <w:rsid w:val="002B0A0D"/>
    <w:rsid w:val="002B569B"/>
    <w:rsid w:val="002B7A99"/>
    <w:rsid w:val="002D0471"/>
    <w:rsid w:val="002D2015"/>
    <w:rsid w:val="002D302B"/>
    <w:rsid w:val="002E5DFC"/>
    <w:rsid w:val="002F4891"/>
    <w:rsid w:val="002F57F5"/>
    <w:rsid w:val="002F6D67"/>
    <w:rsid w:val="002F7E41"/>
    <w:rsid w:val="00302C91"/>
    <w:rsid w:val="00307C2D"/>
    <w:rsid w:val="00323077"/>
    <w:rsid w:val="003355BB"/>
    <w:rsid w:val="003376B8"/>
    <w:rsid w:val="003444DA"/>
    <w:rsid w:val="00352E24"/>
    <w:rsid w:val="00365C27"/>
    <w:rsid w:val="0036720C"/>
    <w:rsid w:val="00367721"/>
    <w:rsid w:val="00373460"/>
    <w:rsid w:val="00385B6B"/>
    <w:rsid w:val="003A102D"/>
    <w:rsid w:val="003A2168"/>
    <w:rsid w:val="003A3AF5"/>
    <w:rsid w:val="003A43BF"/>
    <w:rsid w:val="003A556B"/>
    <w:rsid w:val="003B55AB"/>
    <w:rsid w:val="003C0694"/>
    <w:rsid w:val="003C18B5"/>
    <w:rsid w:val="003C3D82"/>
    <w:rsid w:val="003E5D12"/>
    <w:rsid w:val="003F5674"/>
    <w:rsid w:val="00402D05"/>
    <w:rsid w:val="00407E87"/>
    <w:rsid w:val="00411CB2"/>
    <w:rsid w:val="00412324"/>
    <w:rsid w:val="00413438"/>
    <w:rsid w:val="00417547"/>
    <w:rsid w:val="004227CB"/>
    <w:rsid w:val="00424FB0"/>
    <w:rsid w:val="004258B7"/>
    <w:rsid w:val="00430AC1"/>
    <w:rsid w:val="00442807"/>
    <w:rsid w:val="00443F80"/>
    <w:rsid w:val="0044590D"/>
    <w:rsid w:val="004511C1"/>
    <w:rsid w:val="00454C38"/>
    <w:rsid w:val="00462643"/>
    <w:rsid w:val="0046762A"/>
    <w:rsid w:val="004706DE"/>
    <w:rsid w:val="00477938"/>
    <w:rsid w:val="0049264C"/>
    <w:rsid w:val="00492739"/>
    <w:rsid w:val="004A6C48"/>
    <w:rsid w:val="004B00EB"/>
    <w:rsid w:val="004B2983"/>
    <w:rsid w:val="004B5372"/>
    <w:rsid w:val="004B6DDD"/>
    <w:rsid w:val="004C0DCB"/>
    <w:rsid w:val="004E11D5"/>
    <w:rsid w:val="004E6ACD"/>
    <w:rsid w:val="004F0A6E"/>
    <w:rsid w:val="004F507C"/>
    <w:rsid w:val="00503CD5"/>
    <w:rsid w:val="00507B26"/>
    <w:rsid w:val="00515D30"/>
    <w:rsid w:val="00520A50"/>
    <w:rsid w:val="00521A0B"/>
    <w:rsid w:val="00525FCA"/>
    <w:rsid w:val="00527D15"/>
    <w:rsid w:val="00537072"/>
    <w:rsid w:val="00551DEB"/>
    <w:rsid w:val="00554630"/>
    <w:rsid w:val="00556459"/>
    <w:rsid w:val="005627D4"/>
    <w:rsid w:val="0056329D"/>
    <w:rsid w:val="00563FF7"/>
    <w:rsid w:val="005711AE"/>
    <w:rsid w:val="005718F6"/>
    <w:rsid w:val="005725B0"/>
    <w:rsid w:val="005742D4"/>
    <w:rsid w:val="00574987"/>
    <w:rsid w:val="00582DA0"/>
    <w:rsid w:val="00591054"/>
    <w:rsid w:val="00597588"/>
    <w:rsid w:val="005A0D2B"/>
    <w:rsid w:val="005A15E0"/>
    <w:rsid w:val="005A7176"/>
    <w:rsid w:val="005A7B5A"/>
    <w:rsid w:val="005A7F6F"/>
    <w:rsid w:val="005B03A3"/>
    <w:rsid w:val="005B77AF"/>
    <w:rsid w:val="005C5871"/>
    <w:rsid w:val="005C5BB1"/>
    <w:rsid w:val="005C6A7E"/>
    <w:rsid w:val="005D628C"/>
    <w:rsid w:val="005E0B2B"/>
    <w:rsid w:val="005E226F"/>
    <w:rsid w:val="005F1EC8"/>
    <w:rsid w:val="006047A7"/>
    <w:rsid w:val="00614222"/>
    <w:rsid w:val="00621455"/>
    <w:rsid w:val="0062300A"/>
    <w:rsid w:val="00626C9C"/>
    <w:rsid w:val="00627344"/>
    <w:rsid w:val="00630398"/>
    <w:rsid w:val="00632A96"/>
    <w:rsid w:val="00645E07"/>
    <w:rsid w:val="00647B23"/>
    <w:rsid w:val="00652229"/>
    <w:rsid w:val="00652A56"/>
    <w:rsid w:val="00655BE5"/>
    <w:rsid w:val="00672246"/>
    <w:rsid w:val="00675C69"/>
    <w:rsid w:val="00683F9F"/>
    <w:rsid w:val="006A070C"/>
    <w:rsid w:val="006A14C7"/>
    <w:rsid w:val="006A2AD2"/>
    <w:rsid w:val="006A2E23"/>
    <w:rsid w:val="006B1E67"/>
    <w:rsid w:val="006B7DC6"/>
    <w:rsid w:val="006C1517"/>
    <w:rsid w:val="006C33F9"/>
    <w:rsid w:val="006D2491"/>
    <w:rsid w:val="006D7E53"/>
    <w:rsid w:val="006E2809"/>
    <w:rsid w:val="006E61ED"/>
    <w:rsid w:val="00701015"/>
    <w:rsid w:val="00704508"/>
    <w:rsid w:val="00713B22"/>
    <w:rsid w:val="00717B48"/>
    <w:rsid w:val="00722BE7"/>
    <w:rsid w:val="007431AA"/>
    <w:rsid w:val="00754C05"/>
    <w:rsid w:val="00755B7E"/>
    <w:rsid w:val="00762CD9"/>
    <w:rsid w:val="00764B84"/>
    <w:rsid w:val="00766031"/>
    <w:rsid w:val="00771B19"/>
    <w:rsid w:val="00776F2D"/>
    <w:rsid w:val="007775CC"/>
    <w:rsid w:val="00780B90"/>
    <w:rsid w:val="0078158F"/>
    <w:rsid w:val="00782B84"/>
    <w:rsid w:val="007849F5"/>
    <w:rsid w:val="00785C3C"/>
    <w:rsid w:val="007976F1"/>
    <w:rsid w:val="007B1CC4"/>
    <w:rsid w:val="007C05DC"/>
    <w:rsid w:val="007C5087"/>
    <w:rsid w:val="007E7A3C"/>
    <w:rsid w:val="007F5DAC"/>
    <w:rsid w:val="00801F08"/>
    <w:rsid w:val="00803F4C"/>
    <w:rsid w:val="00805AAE"/>
    <w:rsid w:val="00807CE2"/>
    <w:rsid w:val="00811A62"/>
    <w:rsid w:val="00813D49"/>
    <w:rsid w:val="00814CE2"/>
    <w:rsid w:val="00821D80"/>
    <w:rsid w:val="008313C7"/>
    <w:rsid w:val="00835BDF"/>
    <w:rsid w:val="008537C1"/>
    <w:rsid w:val="008643EE"/>
    <w:rsid w:val="00867A26"/>
    <w:rsid w:val="00872690"/>
    <w:rsid w:val="00874E8B"/>
    <w:rsid w:val="00877619"/>
    <w:rsid w:val="00897ECC"/>
    <w:rsid w:val="008B0F00"/>
    <w:rsid w:val="008E1254"/>
    <w:rsid w:val="008E49FC"/>
    <w:rsid w:val="008F3346"/>
    <w:rsid w:val="008F3B2C"/>
    <w:rsid w:val="00911F70"/>
    <w:rsid w:val="00922AA7"/>
    <w:rsid w:val="009230C0"/>
    <w:rsid w:val="009243F2"/>
    <w:rsid w:val="00925B7E"/>
    <w:rsid w:val="009265AC"/>
    <w:rsid w:val="00926C21"/>
    <w:rsid w:val="00936724"/>
    <w:rsid w:val="00937AE4"/>
    <w:rsid w:val="00941FB7"/>
    <w:rsid w:val="009458A7"/>
    <w:rsid w:val="00945DE1"/>
    <w:rsid w:val="00952907"/>
    <w:rsid w:val="00952FB6"/>
    <w:rsid w:val="00955A3E"/>
    <w:rsid w:val="00960FAD"/>
    <w:rsid w:val="0097789F"/>
    <w:rsid w:val="00977B4E"/>
    <w:rsid w:val="00985A09"/>
    <w:rsid w:val="009908BE"/>
    <w:rsid w:val="00993459"/>
    <w:rsid w:val="00997877"/>
    <w:rsid w:val="009A2BAD"/>
    <w:rsid w:val="009A3E62"/>
    <w:rsid w:val="009A4E32"/>
    <w:rsid w:val="009C67FA"/>
    <w:rsid w:val="009D2F04"/>
    <w:rsid w:val="009E3444"/>
    <w:rsid w:val="009E78A1"/>
    <w:rsid w:val="009F3DDF"/>
    <w:rsid w:val="009F654C"/>
    <w:rsid w:val="009F768E"/>
    <w:rsid w:val="00A01D81"/>
    <w:rsid w:val="00A15714"/>
    <w:rsid w:val="00A30227"/>
    <w:rsid w:val="00A3068B"/>
    <w:rsid w:val="00A439EF"/>
    <w:rsid w:val="00A512ED"/>
    <w:rsid w:val="00A52922"/>
    <w:rsid w:val="00A52A86"/>
    <w:rsid w:val="00A56AF8"/>
    <w:rsid w:val="00A66B05"/>
    <w:rsid w:val="00A755D9"/>
    <w:rsid w:val="00A86BD6"/>
    <w:rsid w:val="00AA08CB"/>
    <w:rsid w:val="00AA3003"/>
    <w:rsid w:val="00AB1A4F"/>
    <w:rsid w:val="00AB260D"/>
    <w:rsid w:val="00AB5413"/>
    <w:rsid w:val="00AC5B89"/>
    <w:rsid w:val="00AD32A9"/>
    <w:rsid w:val="00AD3B05"/>
    <w:rsid w:val="00AD56AA"/>
    <w:rsid w:val="00AD5ED2"/>
    <w:rsid w:val="00AD7627"/>
    <w:rsid w:val="00AE66C1"/>
    <w:rsid w:val="00AE76C9"/>
    <w:rsid w:val="00AF3014"/>
    <w:rsid w:val="00AF6428"/>
    <w:rsid w:val="00B11585"/>
    <w:rsid w:val="00B12995"/>
    <w:rsid w:val="00B14519"/>
    <w:rsid w:val="00B17915"/>
    <w:rsid w:val="00B2389C"/>
    <w:rsid w:val="00B25D96"/>
    <w:rsid w:val="00B3016B"/>
    <w:rsid w:val="00B31AB2"/>
    <w:rsid w:val="00B37721"/>
    <w:rsid w:val="00B449CF"/>
    <w:rsid w:val="00B46083"/>
    <w:rsid w:val="00B461CC"/>
    <w:rsid w:val="00B517BF"/>
    <w:rsid w:val="00B51C22"/>
    <w:rsid w:val="00B53698"/>
    <w:rsid w:val="00B607E5"/>
    <w:rsid w:val="00B6278A"/>
    <w:rsid w:val="00B668D0"/>
    <w:rsid w:val="00B70A10"/>
    <w:rsid w:val="00B75256"/>
    <w:rsid w:val="00B771CF"/>
    <w:rsid w:val="00B81A66"/>
    <w:rsid w:val="00B904AA"/>
    <w:rsid w:val="00B915AC"/>
    <w:rsid w:val="00B9201A"/>
    <w:rsid w:val="00B933B8"/>
    <w:rsid w:val="00B93D0E"/>
    <w:rsid w:val="00B93EE5"/>
    <w:rsid w:val="00B958BA"/>
    <w:rsid w:val="00BA22AB"/>
    <w:rsid w:val="00BA5C0B"/>
    <w:rsid w:val="00BB09DA"/>
    <w:rsid w:val="00BB0DA9"/>
    <w:rsid w:val="00BC1D78"/>
    <w:rsid w:val="00BD09F4"/>
    <w:rsid w:val="00BD22BE"/>
    <w:rsid w:val="00BE5E87"/>
    <w:rsid w:val="00BF50D8"/>
    <w:rsid w:val="00BF52FE"/>
    <w:rsid w:val="00C004B8"/>
    <w:rsid w:val="00C00D53"/>
    <w:rsid w:val="00C02102"/>
    <w:rsid w:val="00C0463A"/>
    <w:rsid w:val="00C165E5"/>
    <w:rsid w:val="00C16B96"/>
    <w:rsid w:val="00C17609"/>
    <w:rsid w:val="00C238F0"/>
    <w:rsid w:val="00C26026"/>
    <w:rsid w:val="00C319FE"/>
    <w:rsid w:val="00C41B69"/>
    <w:rsid w:val="00C421AC"/>
    <w:rsid w:val="00C4311F"/>
    <w:rsid w:val="00C45DDF"/>
    <w:rsid w:val="00C47631"/>
    <w:rsid w:val="00C56D90"/>
    <w:rsid w:val="00C60681"/>
    <w:rsid w:val="00C62161"/>
    <w:rsid w:val="00C66EE9"/>
    <w:rsid w:val="00C71205"/>
    <w:rsid w:val="00C712AD"/>
    <w:rsid w:val="00C74559"/>
    <w:rsid w:val="00C74E2D"/>
    <w:rsid w:val="00C76C89"/>
    <w:rsid w:val="00C80606"/>
    <w:rsid w:val="00C80B5F"/>
    <w:rsid w:val="00C830FD"/>
    <w:rsid w:val="00C86C55"/>
    <w:rsid w:val="00C93185"/>
    <w:rsid w:val="00CA3D1C"/>
    <w:rsid w:val="00CB57F9"/>
    <w:rsid w:val="00CB74E1"/>
    <w:rsid w:val="00CB7DBE"/>
    <w:rsid w:val="00CD01AB"/>
    <w:rsid w:val="00CD5D33"/>
    <w:rsid w:val="00CE57B5"/>
    <w:rsid w:val="00CE7C84"/>
    <w:rsid w:val="00CF2B5C"/>
    <w:rsid w:val="00CF2FF8"/>
    <w:rsid w:val="00CF64C5"/>
    <w:rsid w:val="00D23307"/>
    <w:rsid w:val="00D27E1E"/>
    <w:rsid w:val="00D32908"/>
    <w:rsid w:val="00D375F5"/>
    <w:rsid w:val="00D53D7B"/>
    <w:rsid w:val="00D56650"/>
    <w:rsid w:val="00D61C19"/>
    <w:rsid w:val="00D621C2"/>
    <w:rsid w:val="00D66B06"/>
    <w:rsid w:val="00D713CA"/>
    <w:rsid w:val="00D76F89"/>
    <w:rsid w:val="00D77A42"/>
    <w:rsid w:val="00D80260"/>
    <w:rsid w:val="00D9187C"/>
    <w:rsid w:val="00D9350B"/>
    <w:rsid w:val="00D96FF8"/>
    <w:rsid w:val="00DA4730"/>
    <w:rsid w:val="00DA5105"/>
    <w:rsid w:val="00DC440A"/>
    <w:rsid w:val="00DC6727"/>
    <w:rsid w:val="00DC715B"/>
    <w:rsid w:val="00DD2F98"/>
    <w:rsid w:val="00DD61D3"/>
    <w:rsid w:val="00DE5DF5"/>
    <w:rsid w:val="00E03BDD"/>
    <w:rsid w:val="00E0578F"/>
    <w:rsid w:val="00E05C73"/>
    <w:rsid w:val="00E108F5"/>
    <w:rsid w:val="00E12B1D"/>
    <w:rsid w:val="00E15FC2"/>
    <w:rsid w:val="00E35B93"/>
    <w:rsid w:val="00E4532B"/>
    <w:rsid w:val="00E528D3"/>
    <w:rsid w:val="00E57D26"/>
    <w:rsid w:val="00E60CA9"/>
    <w:rsid w:val="00E6170F"/>
    <w:rsid w:val="00E621B3"/>
    <w:rsid w:val="00E63A79"/>
    <w:rsid w:val="00E652F3"/>
    <w:rsid w:val="00E719D9"/>
    <w:rsid w:val="00E72AD7"/>
    <w:rsid w:val="00E74202"/>
    <w:rsid w:val="00E776DF"/>
    <w:rsid w:val="00E80979"/>
    <w:rsid w:val="00E84256"/>
    <w:rsid w:val="00E853A8"/>
    <w:rsid w:val="00E95B46"/>
    <w:rsid w:val="00EA08EB"/>
    <w:rsid w:val="00EA1172"/>
    <w:rsid w:val="00EA5AE3"/>
    <w:rsid w:val="00EB561D"/>
    <w:rsid w:val="00EC52C8"/>
    <w:rsid w:val="00ED08D6"/>
    <w:rsid w:val="00ED0F28"/>
    <w:rsid w:val="00ED528E"/>
    <w:rsid w:val="00ED6895"/>
    <w:rsid w:val="00EE1C12"/>
    <w:rsid w:val="00EE2AAF"/>
    <w:rsid w:val="00EE376C"/>
    <w:rsid w:val="00EE622E"/>
    <w:rsid w:val="00F00B81"/>
    <w:rsid w:val="00F06BB2"/>
    <w:rsid w:val="00F1268C"/>
    <w:rsid w:val="00F234B1"/>
    <w:rsid w:val="00F311E0"/>
    <w:rsid w:val="00F32BEE"/>
    <w:rsid w:val="00F36CDC"/>
    <w:rsid w:val="00F41C9F"/>
    <w:rsid w:val="00F46D71"/>
    <w:rsid w:val="00F618A2"/>
    <w:rsid w:val="00F635FC"/>
    <w:rsid w:val="00F64729"/>
    <w:rsid w:val="00F81225"/>
    <w:rsid w:val="00F854EB"/>
    <w:rsid w:val="00F86637"/>
    <w:rsid w:val="00F877AC"/>
    <w:rsid w:val="00F9400E"/>
    <w:rsid w:val="00F97D30"/>
    <w:rsid w:val="00FA495B"/>
    <w:rsid w:val="00FB2A42"/>
    <w:rsid w:val="00FB2D90"/>
    <w:rsid w:val="00FB7E61"/>
    <w:rsid w:val="00FC4BB7"/>
    <w:rsid w:val="00FC581D"/>
    <w:rsid w:val="00FC60C7"/>
    <w:rsid w:val="00FC729B"/>
    <w:rsid w:val="00FD045D"/>
    <w:rsid w:val="00FD0462"/>
    <w:rsid w:val="00FD3767"/>
    <w:rsid w:val="00FE395A"/>
    <w:rsid w:val="00FE5DC8"/>
    <w:rsid w:val="00FF023A"/>
    <w:rsid w:val="00FF17F1"/>
    <w:rsid w:val="00FF5836"/>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CC4"/>
    <w:pPr>
      <w:spacing w:after="200" w:line="240" w:lineRule="auto"/>
      <w:jc w:val="both"/>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1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814CE2"/>
    <w:rPr>
      <w:color w:val="808080"/>
    </w:rPr>
  </w:style>
  <w:style w:type="paragraph" w:styleId="Textodeglobo">
    <w:name w:val="Balloon Text"/>
    <w:basedOn w:val="Normal"/>
    <w:link w:val="TextodegloboCar"/>
    <w:uiPriority w:val="99"/>
    <w:semiHidden/>
    <w:unhideWhenUsed/>
    <w:rsid w:val="0055463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4630"/>
    <w:rPr>
      <w:rFonts w:ascii="Segoe UI" w:eastAsia="Calibri" w:hAnsi="Segoe UI" w:cs="Segoe UI"/>
      <w:sz w:val="18"/>
      <w:szCs w:val="18"/>
      <w:lang w:val="es-ES"/>
    </w:rPr>
  </w:style>
  <w:style w:type="paragraph" w:styleId="Encabezado">
    <w:name w:val="header"/>
    <w:basedOn w:val="Normal"/>
    <w:link w:val="EncabezadoCar"/>
    <w:uiPriority w:val="99"/>
    <w:unhideWhenUsed/>
    <w:rsid w:val="006A14C7"/>
    <w:pPr>
      <w:tabs>
        <w:tab w:val="center" w:pos="4252"/>
        <w:tab w:val="right" w:pos="8504"/>
      </w:tabs>
      <w:spacing w:after="0"/>
    </w:pPr>
  </w:style>
  <w:style w:type="character" w:customStyle="1" w:styleId="EncabezadoCar">
    <w:name w:val="Encabezado Car"/>
    <w:basedOn w:val="Fuentedeprrafopredeter"/>
    <w:link w:val="Encabezado"/>
    <w:uiPriority w:val="99"/>
    <w:rsid w:val="006A14C7"/>
    <w:rPr>
      <w:rFonts w:ascii="Calibri" w:eastAsia="Calibri" w:hAnsi="Calibri" w:cs="Times New Roman"/>
      <w:lang w:val="es-ES"/>
    </w:rPr>
  </w:style>
  <w:style w:type="paragraph" w:styleId="Piedepgina">
    <w:name w:val="footer"/>
    <w:basedOn w:val="Normal"/>
    <w:link w:val="PiedepginaCar"/>
    <w:uiPriority w:val="99"/>
    <w:unhideWhenUsed/>
    <w:rsid w:val="006A14C7"/>
    <w:pPr>
      <w:tabs>
        <w:tab w:val="center" w:pos="4252"/>
        <w:tab w:val="right" w:pos="8504"/>
      </w:tabs>
      <w:spacing w:after="0"/>
    </w:pPr>
  </w:style>
  <w:style w:type="character" w:customStyle="1" w:styleId="PiedepginaCar">
    <w:name w:val="Pie de página Car"/>
    <w:basedOn w:val="Fuentedeprrafopredeter"/>
    <w:link w:val="Piedepgina"/>
    <w:uiPriority w:val="99"/>
    <w:rsid w:val="006A14C7"/>
    <w:rPr>
      <w:rFonts w:ascii="Calibri" w:eastAsia="Calibri" w:hAnsi="Calibri" w:cs="Times New Roman"/>
      <w:lang w:val="es-ES"/>
    </w:rPr>
  </w:style>
  <w:style w:type="paragraph" w:styleId="Sinespaciado">
    <w:name w:val="No Spacing"/>
    <w:uiPriority w:val="1"/>
    <w:qFormat/>
    <w:rsid w:val="009A3E62"/>
    <w:pPr>
      <w:spacing w:after="0" w:line="240" w:lineRule="auto"/>
      <w:jc w:val="both"/>
    </w:pPr>
    <w:rPr>
      <w:rFonts w:ascii="Calibri" w:eastAsia="Calibri" w:hAnsi="Calibri" w:cs="Times New Roman"/>
      <w:lang w:val="es-ES"/>
    </w:rPr>
  </w:style>
  <w:style w:type="paragraph" w:styleId="NormalWeb">
    <w:name w:val="Normal (Web)"/>
    <w:basedOn w:val="Normal"/>
    <w:uiPriority w:val="99"/>
    <w:semiHidden/>
    <w:unhideWhenUsed/>
    <w:rsid w:val="00E72AD7"/>
    <w:pPr>
      <w:spacing w:before="100" w:beforeAutospacing="1" w:after="100" w:afterAutospacing="1"/>
      <w:jc w:val="left"/>
    </w:pPr>
    <w:rPr>
      <w:rFonts w:ascii="Times New Roman" w:eastAsia="Times New Roman" w:hAnsi="Times New Roman"/>
      <w:sz w:val="24"/>
      <w:szCs w:val="24"/>
      <w:lang w:val="es-EC" w:eastAsia="es-EC"/>
    </w:rPr>
  </w:style>
  <w:style w:type="paragraph" w:styleId="Prrafodelista">
    <w:name w:val="List Paragraph"/>
    <w:basedOn w:val="Normal"/>
    <w:uiPriority w:val="34"/>
    <w:qFormat/>
    <w:rsid w:val="00EE376C"/>
    <w:pPr>
      <w:ind w:left="720"/>
      <w:contextualSpacing/>
    </w:pPr>
  </w:style>
  <w:style w:type="character" w:styleId="Hipervnculo">
    <w:name w:val="Hyperlink"/>
    <w:basedOn w:val="Fuentedeprrafopredeter"/>
    <w:uiPriority w:val="99"/>
    <w:unhideWhenUsed/>
    <w:rsid w:val="00C74559"/>
    <w:rPr>
      <w:color w:val="0563C1" w:themeColor="hyperlink"/>
      <w:u w:val="single"/>
    </w:rPr>
  </w:style>
  <w:style w:type="paragraph" w:customStyle="1" w:styleId="Default">
    <w:name w:val="Default"/>
    <w:rsid w:val="00302C91"/>
    <w:pPr>
      <w:autoSpaceDE w:val="0"/>
      <w:autoSpaceDN w:val="0"/>
      <w:adjustRightInd w:val="0"/>
      <w:spacing w:after="0" w:line="240" w:lineRule="auto"/>
    </w:pPr>
    <w:rPr>
      <w:rFonts w:ascii="Calibri" w:hAnsi="Calibri" w:cs="Calibri"/>
      <w:color w:val="000000"/>
      <w:sz w:val="24"/>
      <w:szCs w:val="24"/>
    </w:rPr>
  </w:style>
  <w:style w:type="character" w:customStyle="1" w:styleId="author">
    <w:name w:val="author"/>
    <w:basedOn w:val="Fuentedeprrafopredeter"/>
    <w:rsid w:val="00D80260"/>
  </w:style>
</w:styles>
</file>

<file path=word/webSettings.xml><?xml version="1.0" encoding="utf-8"?>
<w:webSettings xmlns:r="http://schemas.openxmlformats.org/officeDocument/2006/relationships" xmlns:w="http://schemas.openxmlformats.org/wordprocessingml/2006/main">
  <w:divs>
    <w:div w:id="430397176">
      <w:bodyDiv w:val="1"/>
      <w:marLeft w:val="0"/>
      <w:marRight w:val="0"/>
      <w:marTop w:val="0"/>
      <w:marBottom w:val="0"/>
      <w:divBdr>
        <w:top w:val="none" w:sz="0" w:space="0" w:color="auto"/>
        <w:left w:val="none" w:sz="0" w:space="0" w:color="auto"/>
        <w:bottom w:val="none" w:sz="0" w:space="0" w:color="auto"/>
        <w:right w:val="none" w:sz="0" w:space="0" w:color="auto"/>
      </w:divBdr>
    </w:div>
    <w:div w:id="1259296305">
      <w:bodyDiv w:val="1"/>
      <w:marLeft w:val="0"/>
      <w:marRight w:val="0"/>
      <w:marTop w:val="0"/>
      <w:marBottom w:val="0"/>
      <w:divBdr>
        <w:top w:val="none" w:sz="0" w:space="0" w:color="auto"/>
        <w:left w:val="none" w:sz="0" w:space="0" w:color="auto"/>
        <w:bottom w:val="none" w:sz="0" w:space="0" w:color="auto"/>
        <w:right w:val="none" w:sz="0" w:space="0" w:color="auto"/>
      </w:divBdr>
    </w:div>
    <w:div w:id="1486700184">
      <w:bodyDiv w:val="1"/>
      <w:marLeft w:val="0"/>
      <w:marRight w:val="0"/>
      <w:marTop w:val="0"/>
      <w:marBottom w:val="0"/>
      <w:divBdr>
        <w:top w:val="none" w:sz="0" w:space="0" w:color="auto"/>
        <w:left w:val="none" w:sz="0" w:space="0" w:color="auto"/>
        <w:bottom w:val="none" w:sz="0" w:space="0" w:color="auto"/>
        <w:right w:val="none" w:sz="0" w:space="0" w:color="auto"/>
      </w:divBdr>
    </w:div>
    <w:div w:id="183765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duezalealfelix@gmail.com" TargetMode="External"/><Relationship Id="rId18" Type="http://schemas.openxmlformats.org/officeDocument/2006/relationships/hyperlink" Target="mailto:jsbarros@uce.edu.ec" TargetMode="External"/><Relationship Id="rId26" Type="http://schemas.openxmlformats.org/officeDocument/2006/relationships/image" Target="media/image4.wmf"/><Relationship Id="rId39"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hyperlink" Target="mailto:cat_quito@hotmail.com" TargetMode="External"/><Relationship Id="rId34" Type="http://schemas.openxmlformats.org/officeDocument/2006/relationships/oleObject" Target="embeddings/oleObject7.bin"/><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fdandueza@uce.edu.ec" TargetMode="External"/><Relationship Id="rId17" Type="http://schemas.openxmlformats.org/officeDocument/2006/relationships/hyperlink" Target="https://scholar.google.com/citations?user=fePI2OAAAAAJ&amp;hl=es" TargetMode="External"/><Relationship Id="rId25" Type="http://schemas.openxmlformats.org/officeDocument/2006/relationships/oleObject" Target="embeddings/oleObject2.bin"/><Relationship Id="rId33" Type="http://schemas.openxmlformats.org/officeDocument/2006/relationships/image" Target="media/image7.wmf"/><Relationship Id="rId38"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hyperlink" Target="mailto:anasoto.vivas@gmail.com" TargetMode="External"/><Relationship Id="rId20" Type="http://schemas.openxmlformats.org/officeDocument/2006/relationships/hyperlink" Target="mailto:catorrese@uce.edu.ec" TargetMode="External"/><Relationship Id="rId29" Type="http://schemas.openxmlformats.org/officeDocument/2006/relationships/oleObject" Target="embeddings/oleObject4.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citations?user=UY3JzmoAAAAJ&amp;hl=es" TargetMode="External"/><Relationship Id="rId24" Type="http://schemas.openxmlformats.org/officeDocument/2006/relationships/image" Target="media/image3.wmf"/><Relationship Id="rId32" Type="http://schemas.openxmlformats.org/officeDocument/2006/relationships/oleObject" Target="embeddings/oleObject6.bin"/><Relationship Id="rId37" Type="http://schemas.openxmlformats.org/officeDocument/2006/relationships/image" Target="media/image9.emf"/><Relationship Id="rId40"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hyperlink" Target="mailto:aysoto@uce.edu.ec" TargetMode="External"/><Relationship Id="rId23" Type="http://schemas.openxmlformats.org/officeDocument/2006/relationships/oleObject" Target="embeddings/oleObject1.bin"/><Relationship Id="rId28" Type="http://schemas.openxmlformats.org/officeDocument/2006/relationships/image" Target="media/image5.wmf"/><Relationship Id="rId36" Type="http://schemas.openxmlformats.org/officeDocument/2006/relationships/oleObject" Target="embeddings/oleObject8.bin"/><Relationship Id="rId10" Type="http://schemas.openxmlformats.org/officeDocument/2006/relationships/hyperlink" Target="mailto:yonathanparra15@gmail.com" TargetMode="External"/><Relationship Id="rId19" Type="http://schemas.openxmlformats.org/officeDocument/2006/relationships/hyperlink" Target="mailto:jbslp_mh@hotmail.com" TargetMode="External"/><Relationship Id="rId31"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mailto:ydparra@uce.edu.ec" TargetMode="External"/><Relationship Id="rId14" Type="http://schemas.openxmlformats.org/officeDocument/2006/relationships/hyperlink" Target="https://scholar.google.com/citations?user=Be-g17IAAAAJ&amp;hl=en" TargetMode="External"/><Relationship Id="rId22" Type="http://schemas.openxmlformats.org/officeDocument/2006/relationships/image" Target="media/image2.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image" Target="media/image8.emf"/><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5"/>
        <w:category>
          <w:name w:val="General"/>
          <w:gallery w:val="placeholder"/>
        </w:category>
        <w:types>
          <w:type w:val="bbPlcHdr"/>
        </w:types>
        <w:behaviors>
          <w:behavior w:val="content"/>
        </w:behaviors>
        <w:guid w:val="{6DEAAA7E-9461-4021-B57E-3BC70147274C}"/>
      </w:docPartPr>
      <w:docPartBody>
        <w:p w:rsidR="008C5B21" w:rsidRDefault="00CB0D9C">
          <w:r w:rsidRPr="009F774D">
            <w:rPr>
              <w:rStyle w:val="Textodelmarcadordeposicin"/>
            </w:rPr>
            <w:t>Elija un elemento.</w:t>
          </w:r>
        </w:p>
      </w:docPartBody>
    </w:docPart>
    <w:docPart>
      <w:docPartPr>
        <w:name w:val="E98838003F89486EB35A5C9F12A90CB5"/>
        <w:category>
          <w:name w:val="General"/>
          <w:gallery w:val="placeholder"/>
        </w:category>
        <w:types>
          <w:type w:val="bbPlcHdr"/>
        </w:types>
        <w:behaviors>
          <w:behavior w:val="content"/>
        </w:behaviors>
        <w:guid w:val="{DD601D00-E5BA-404C-9590-71B77E3744DF}"/>
      </w:docPartPr>
      <w:docPartBody>
        <w:p w:rsidR="008C5B21" w:rsidRDefault="00CB0D9C" w:rsidP="00CB0D9C">
          <w:pPr>
            <w:pStyle w:val="E98838003F89486EB35A5C9F12A90CB5"/>
          </w:pPr>
          <w:r w:rsidRPr="009F774D">
            <w:rPr>
              <w:rStyle w:val="Textodelmarcadordeposicin"/>
            </w:rPr>
            <w:t>Elija un elemento.</w:t>
          </w:r>
        </w:p>
      </w:docPartBody>
    </w:docPart>
    <w:docPart>
      <w:docPartPr>
        <w:name w:val="1B08D26E249F41C1A5B2D07345B3BE38"/>
        <w:category>
          <w:name w:val="General"/>
          <w:gallery w:val="placeholder"/>
        </w:category>
        <w:types>
          <w:type w:val="bbPlcHdr"/>
        </w:types>
        <w:behaviors>
          <w:behavior w:val="content"/>
        </w:behaviors>
        <w:guid w:val="{40012A27-7BDC-4001-9BD6-C851B328C182}"/>
      </w:docPartPr>
      <w:docPartBody>
        <w:p w:rsidR="008C5B21" w:rsidRDefault="00CB0D9C" w:rsidP="00CB0D9C">
          <w:pPr>
            <w:pStyle w:val="1B08D26E249F41C1A5B2D07345B3BE38"/>
          </w:pPr>
          <w:r w:rsidRPr="009F774D">
            <w:rPr>
              <w:rStyle w:val="Textodelmarcadordeposicin"/>
            </w:rPr>
            <w:t>Elija un elemento.</w:t>
          </w:r>
        </w:p>
      </w:docPartBody>
    </w:docPart>
    <w:docPart>
      <w:docPartPr>
        <w:name w:val="E6BCBC2039744F9A95CE50517CF0EBA5"/>
        <w:category>
          <w:name w:val="General"/>
          <w:gallery w:val="placeholder"/>
        </w:category>
        <w:types>
          <w:type w:val="bbPlcHdr"/>
        </w:types>
        <w:behaviors>
          <w:behavior w:val="content"/>
        </w:behaviors>
        <w:guid w:val="{523490D2-7468-498E-A73F-93CBE1822E82}"/>
      </w:docPartPr>
      <w:docPartBody>
        <w:p w:rsidR="008C5B21" w:rsidRDefault="00CB0D9C" w:rsidP="00CB0D9C">
          <w:pPr>
            <w:pStyle w:val="E6BCBC2039744F9A95CE50517CF0EBA5"/>
          </w:pPr>
          <w:r w:rsidRPr="009F774D">
            <w:rPr>
              <w:rStyle w:val="Textodelmarcadordeposicin"/>
            </w:rPr>
            <w:t>Elija un elemento.</w:t>
          </w:r>
        </w:p>
      </w:docPartBody>
    </w:docPart>
    <w:docPart>
      <w:docPartPr>
        <w:name w:val="DCDE4D0DA035439988499529EA2C3BBB"/>
        <w:category>
          <w:name w:val="General"/>
          <w:gallery w:val="placeholder"/>
        </w:category>
        <w:types>
          <w:type w:val="bbPlcHdr"/>
        </w:types>
        <w:behaviors>
          <w:behavior w:val="content"/>
        </w:behaviors>
        <w:guid w:val="{DAE68CCF-ED5C-4634-BADC-11959CE2060B}"/>
      </w:docPartPr>
      <w:docPartBody>
        <w:p w:rsidR="008C5B21" w:rsidRDefault="00CB0D9C" w:rsidP="00CB0D9C">
          <w:pPr>
            <w:pStyle w:val="DCDE4D0DA035439988499529EA2C3BBB"/>
          </w:pPr>
          <w:r w:rsidRPr="009F774D">
            <w:rPr>
              <w:rStyle w:val="Textodelmarcadordeposicin"/>
            </w:rPr>
            <w:t>Elija un elemento.</w:t>
          </w:r>
        </w:p>
      </w:docPartBody>
    </w:docPart>
    <w:docPart>
      <w:docPartPr>
        <w:name w:val="BC1DBBF724F8488CA3AA140084E6BA59"/>
        <w:category>
          <w:name w:val="General"/>
          <w:gallery w:val="placeholder"/>
        </w:category>
        <w:types>
          <w:type w:val="bbPlcHdr"/>
        </w:types>
        <w:behaviors>
          <w:behavior w:val="content"/>
        </w:behaviors>
        <w:guid w:val="{CC21BAD1-EBC1-4F5E-8E3D-885850F038A9}"/>
      </w:docPartPr>
      <w:docPartBody>
        <w:p w:rsidR="008C5B21" w:rsidRDefault="00CB0D9C" w:rsidP="00CB0D9C">
          <w:pPr>
            <w:pStyle w:val="BC1DBBF724F8488CA3AA140084E6BA59"/>
          </w:pPr>
          <w:r w:rsidRPr="009F774D">
            <w:rPr>
              <w:rStyle w:val="Textodelmarcadordeposicin"/>
            </w:rPr>
            <w:t>Elija un elemento.</w:t>
          </w:r>
        </w:p>
      </w:docPartBody>
    </w:docPart>
    <w:docPart>
      <w:docPartPr>
        <w:name w:val="E7523136EDE5424F98B578D8D3034D31"/>
        <w:category>
          <w:name w:val="General"/>
          <w:gallery w:val="placeholder"/>
        </w:category>
        <w:types>
          <w:type w:val="bbPlcHdr"/>
        </w:types>
        <w:behaviors>
          <w:behavior w:val="content"/>
        </w:behaviors>
        <w:guid w:val="{592C4FB0-C28D-496C-BBE7-415F94AF8510}"/>
      </w:docPartPr>
      <w:docPartBody>
        <w:p w:rsidR="008C5B21" w:rsidRDefault="00CB0D9C" w:rsidP="00CB0D9C">
          <w:pPr>
            <w:pStyle w:val="E7523136EDE5424F98B578D8D3034D31"/>
          </w:pPr>
          <w:r w:rsidRPr="009F774D">
            <w:rPr>
              <w:rStyle w:val="Textodelmarcadordeposicin"/>
            </w:rPr>
            <w:t>Elija un elemento.</w:t>
          </w:r>
        </w:p>
      </w:docPartBody>
    </w:docPart>
    <w:docPart>
      <w:docPartPr>
        <w:name w:val="C72F3C1A9A2A48FE854B440A954447B7"/>
        <w:category>
          <w:name w:val="General"/>
          <w:gallery w:val="placeholder"/>
        </w:category>
        <w:types>
          <w:type w:val="bbPlcHdr"/>
        </w:types>
        <w:behaviors>
          <w:behavior w:val="content"/>
        </w:behaviors>
        <w:guid w:val="{4D00812F-EDCA-481F-9DE2-5E4C0579AA78}"/>
      </w:docPartPr>
      <w:docPartBody>
        <w:p w:rsidR="00DB5DDA" w:rsidRDefault="00B35AC6" w:rsidP="00B35AC6">
          <w:pPr>
            <w:pStyle w:val="C72F3C1A9A2A48FE854B440A954447B7"/>
          </w:pPr>
          <w:r w:rsidRPr="009F774D">
            <w:rPr>
              <w:rStyle w:val="Textodelmarcadordeposicin"/>
            </w:rPr>
            <w:t>Elija un elemento.</w:t>
          </w:r>
        </w:p>
      </w:docPartBody>
    </w:docPart>
    <w:docPart>
      <w:docPartPr>
        <w:name w:val="2AAFD4EA386444808CC6FD44AE3F18C1"/>
        <w:category>
          <w:name w:val="General"/>
          <w:gallery w:val="placeholder"/>
        </w:category>
        <w:types>
          <w:type w:val="bbPlcHdr"/>
        </w:types>
        <w:behaviors>
          <w:behavior w:val="content"/>
        </w:behaviors>
        <w:guid w:val="{8B86522E-99E7-4715-A0DB-7D7293B8152C}"/>
      </w:docPartPr>
      <w:docPartBody>
        <w:p w:rsidR="00F848D0" w:rsidRDefault="00F848D0" w:rsidP="00F848D0">
          <w:pPr>
            <w:pStyle w:val="2AAFD4EA386444808CC6FD44AE3F18C1"/>
          </w:pPr>
          <w:r w:rsidRPr="009F774D">
            <w:rPr>
              <w:rStyle w:val="Textodelmarcadordeposicin"/>
            </w:rPr>
            <w:t>Elija un elemento.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617E3"/>
    <w:rsid w:val="000105EE"/>
    <w:rsid w:val="0003439F"/>
    <w:rsid w:val="000C60CC"/>
    <w:rsid w:val="001518DC"/>
    <w:rsid w:val="00197639"/>
    <w:rsid w:val="001E36FA"/>
    <w:rsid w:val="002413FD"/>
    <w:rsid w:val="0030025F"/>
    <w:rsid w:val="003332DF"/>
    <w:rsid w:val="00350F38"/>
    <w:rsid w:val="00353F29"/>
    <w:rsid w:val="003617E3"/>
    <w:rsid w:val="003A0F04"/>
    <w:rsid w:val="003B464D"/>
    <w:rsid w:val="003E56AB"/>
    <w:rsid w:val="003F2CC8"/>
    <w:rsid w:val="0054771C"/>
    <w:rsid w:val="00565AB2"/>
    <w:rsid w:val="00577F02"/>
    <w:rsid w:val="005A0E7D"/>
    <w:rsid w:val="00747D36"/>
    <w:rsid w:val="008C5B21"/>
    <w:rsid w:val="008F349C"/>
    <w:rsid w:val="00927A2E"/>
    <w:rsid w:val="00963E1B"/>
    <w:rsid w:val="00AC35BE"/>
    <w:rsid w:val="00AF6636"/>
    <w:rsid w:val="00B35AC6"/>
    <w:rsid w:val="00CB0D9C"/>
    <w:rsid w:val="00D269CD"/>
    <w:rsid w:val="00D4368A"/>
    <w:rsid w:val="00D67CCF"/>
    <w:rsid w:val="00DB5DDA"/>
    <w:rsid w:val="00EC0332"/>
    <w:rsid w:val="00F74A96"/>
    <w:rsid w:val="00F848D0"/>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5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848D0"/>
    <w:rPr>
      <w:color w:val="808080"/>
    </w:rPr>
  </w:style>
  <w:style w:type="paragraph" w:customStyle="1" w:styleId="94BB5F0D42CF4CC3962CCE7FCD513949">
    <w:name w:val="94BB5F0D42CF4CC3962CCE7FCD513949"/>
    <w:rsid w:val="003617E3"/>
  </w:style>
  <w:style w:type="paragraph" w:customStyle="1" w:styleId="718B352ACD524F3687BA1E1E41DB41B4">
    <w:name w:val="718B352ACD524F3687BA1E1E41DB41B4"/>
    <w:rsid w:val="002413FD"/>
  </w:style>
  <w:style w:type="paragraph" w:customStyle="1" w:styleId="738DF5BFEE034A239FA42F7B9982D1E4">
    <w:name w:val="738DF5BFEE034A239FA42F7B9982D1E4"/>
    <w:rsid w:val="0003439F"/>
    <w:pPr>
      <w:spacing w:after="200" w:line="276" w:lineRule="auto"/>
    </w:pPr>
  </w:style>
  <w:style w:type="paragraph" w:customStyle="1" w:styleId="E98838003F89486EB35A5C9F12A90CB5">
    <w:name w:val="E98838003F89486EB35A5C9F12A90CB5"/>
    <w:rsid w:val="00CB0D9C"/>
    <w:rPr>
      <w:lang w:val="es-ES" w:eastAsia="es-ES"/>
    </w:rPr>
  </w:style>
  <w:style w:type="paragraph" w:customStyle="1" w:styleId="C8A4DB1EA8C6450E8AF41F65BD9845DE">
    <w:name w:val="C8A4DB1EA8C6450E8AF41F65BD9845DE"/>
    <w:rsid w:val="00CB0D9C"/>
    <w:rPr>
      <w:lang w:val="es-ES" w:eastAsia="es-ES"/>
    </w:rPr>
  </w:style>
  <w:style w:type="paragraph" w:customStyle="1" w:styleId="173381E383744DFDB37F90E34C7E9067">
    <w:name w:val="173381E383744DFDB37F90E34C7E9067"/>
    <w:rsid w:val="00CB0D9C"/>
    <w:rPr>
      <w:lang w:val="es-ES" w:eastAsia="es-ES"/>
    </w:rPr>
  </w:style>
  <w:style w:type="paragraph" w:customStyle="1" w:styleId="1B08D26E249F41C1A5B2D07345B3BE38">
    <w:name w:val="1B08D26E249F41C1A5B2D07345B3BE38"/>
    <w:rsid w:val="00CB0D9C"/>
    <w:rPr>
      <w:lang w:val="es-ES" w:eastAsia="es-ES"/>
    </w:rPr>
  </w:style>
  <w:style w:type="paragraph" w:customStyle="1" w:styleId="6D4B2D88FE8541858D3D8433232C64BA">
    <w:name w:val="6D4B2D88FE8541858D3D8433232C64BA"/>
    <w:rsid w:val="00CB0D9C"/>
    <w:rPr>
      <w:lang w:val="es-ES" w:eastAsia="es-ES"/>
    </w:rPr>
  </w:style>
  <w:style w:type="paragraph" w:customStyle="1" w:styleId="84B8BA2564544571AF1938642684A475">
    <w:name w:val="84B8BA2564544571AF1938642684A475"/>
    <w:rsid w:val="00CB0D9C"/>
    <w:rPr>
      <w:lang w:val="es-ES" w:eastAsia="es-ES"/>
    </w:rPr>
  </w:style>
  <w:style w:type="paragraph" w:customStyle="1" w:styleId="DF3AED4440014669A7BD25A6CB3D6C1F">
    <w:name w:val="DF3AED4440014669A7BD25A6CB3D6C1F"/>
    <w:rsid w:val="00CB0D9C"/>
    <w:rPr>
      <w:lang w:val="es-ES" w:eastAsia="es-ES"/>
    </w:rPr>
  </w:style>
  <w:style w:type="paragraph" w:customStyle="1" w:styleId="E6BCBC2039744F9A95CE50517CF0EBA5">
    <w:name w:val="E6BCBC2039744F9A95CE50517CF0EBA5"/>
    <w:rsid w:val="00CB0D9C"/>
    <w:rPr>
      <w:lang w:val="es-ES" w:eastAsia="es-ES"/>
    </w:rPr>
  </w:style>
  <w:style w:type="paragraph" w:customStyle="1" w:styleId="BEC75A3C42C04F05A2160F89FA54EDE5">
    <w:name w:val="BEC75A3C42C04F05A2160F89FA54EDE5"/>
    <w:rsid w:val="00CB0D9C"/>
    <w:rPr>
      <w:lang w:val="es-ES" w:eastAsia="es-ES"/>
    </w:rPr>
  </w:style>
  <w:style w:type="paragraph" w:customStyle="1" w:styleId="A9A4F8EF16FB49C7BBA6F42E05234097">
    <w:name w:val="A9A4F8EF16FB49C7BBA6F42E05234097"/>
    <w:rsid w:val="00CB0D9C"/>
    <w:rPr>
      <w:lang w:val="es-ES" w:eastAsia="es-ES"/>
    </w:rPr>
  </w:style>
  <w:style w:type="paragraph" w:customStyle="1" w:styleId="DCDE4D0DA035439988499529EA2C3BBB">
    <w:name w:val="DCDE4D0DA035439988499529EA2C3BBB"/>
    <w:rsid w:val="00CB0D9C"/>
    <w:rPr>
      <w:lang w:val="es-ES" w:eastAsia="es-ES"/>
    </w:rPr>
  </w:style>
  <w:style w:type="paragraph" w:customStyle="1" w:styleId="BC1DBBF724F8488CA3AA140084E6BA59">
    <w:name w:val="BC1DBBF724F8488CA3AA140084E6BA59"/>
    <w:rsid w:val="00CB0D9C"/>
    <w:rPr>
      <w:lang w:val="es-ES" w:eastAsia="es-ES"/>
    </w:rPr>
  </w:style>
  <w:style w:type="paragraph" w:customStyle="1" w:styleId="3D009C63460D4364AD1BA661ABA17D40">
    <w:name w:val="3D009C63460D4364AD1BA661ABA17D40"/>
    <w:rsid w:val="00CB0D9C"/>
    <w:rPr>
      <w:lang w:val="es-ES" w:eastAsia="es-ES"/>
    </w:rPr>
  </w:style>
  <w:style w:type="paragraph" w:customStyle="1" w:styleId="E7523136EDE5424F98B578D8D3034D31">
    <w:name w:val="E7523136EDE5424F98B578D8D3034D31"/>
    <w:rsid w:val="00CB0D9C"/>
    <w:rPr>
      <w:lang w:val="es-ES" w:eastAsia="es-ES"/>
    </w:rPr>
  </w:style>
  <w:style w:type="paragraph" w:customStyle="1" w:styleId="C72F3C1A9A2A48FE854B440A954447B7">
    <w:name w:val="C72F3C1A9A2A48FE854B440A954447B7"/>
    <w:rsid w:val="00B35AC6"/>
  </w:style>
  <w:style w:type="paragraph" w:customStyle="1" w:styleId="7976972770E0445BB3EABC8C2F7FAC1A">
    <w:name w:val="7976972770E0445BB3EABC8C2F7FAC1A"/>
    <w:rsid w:val="00F848D0"/>
    <w:pPr>
      <w:spacing w:after="200" w:line="276" w:lineRule="auto"/>
    </w:pPr>
  </w:style>
  <w:style w:type="paragraph" w:customStyle="1" w:styleId="2AAFD4EA386444808CC6FD44AE3F18C1">
    <w:name w:val="2AAFD4EA386444808CC6FD44AE3F18C1"/>
    <w:rsid w:val="00F848D0"/>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A514E-6C92-4615-A8AD-7AFE0A8C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23</Pages>
  <Words>17850</Words>
  <Characters>98177</Characters>
  <Application>Microsoft Office Word</Application>
  <DocSecurity>0</DocSecurity>
  <Lines>818</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ARQUITECTURA Y URBANISMO</dc:creator>
  <cp:lastModifiedBy>Jonas</cp:lastModifiedBy>
  <cp:revision>273</cp:revision>
  <cp:lastPrinted>2016-03-03T15:37:00Z</cp:lastPrinted>
  <dcterms:created xsi:type="dcterms:W3CDTF">2017-12-04T21:51:00Z</dcterms:created>
  <dcterms:modified xsi:type="dcterms:W3CDTF">2017-12-08T09:17:00Z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8c850c6f-be4f-3da4-bb44-4989b7e75820</vt:lpwstr>
  </property>
  <property fmtid="{D5CDD505-2E9C-101B-9397-08002B2CF9AE}" pid="24" name="Mendeley Citation Style_1">
    <vt:lpwstr>http://www.zotero.org/styles/apa</vt:lpwstr>
  </property>
</Properties>
</file>